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E4" w:rsidRDefault="00076F16">
      <w:pPr>
        <w:jc w:val="center"/>
        <w:rPr>
          <w:rFonts w:ascii="Arial" w:hAnsi="Arial" w:cs="Arial"/>
          <w:b/>
          <w:u w:color="0000FF"/>
        </w:rPr>
      </w:pPr>
      <w:r w:rsidRPr="003812A8">
        <w:rPr>
          <w:rFonts w:ascii="Arial" w:hAnsi="Arial" w:cs="Arial"/>
          <w:b/>
          <w:u w:color="0000FF"/>
        </w:rPr>
        <w:t>ANEXO X</w:t>
      </w:r>
      <w:r w:rsidR="00F7585A">
        <w:rPr>
          <w:rFonts w:ascii="Arial" w:hAnsi="Arial" w:cs="Arial"/>
          <w:b/>
          <w:u w:color="0000FF"/>
        </w:rPr>
        <w:t>I</w:t>
      </w:r>
    </w:p>
    <w:p w:rsidR="00F7585A" w:rsidRPr="003812A8" w:rsidRDefault="00F7585A">
      <w:pPr>
        <w:jc w:val="center"/>
        <w:rPr>
          <w:rFonts w:ascii="Arial" w:hAnsi="Arial" w:cs="Arial"/>
          <w:b/>
          <w:u w:color="0000FF"/>
        </w:rPr>
      </w:pPr>
    </w:p>
    <w:p w:rsidR="00076F16" w:rsidRPr="003812A8" w:rsidRDefault="00F7585A">
      <w:pPr>
        <w:jc w:val="center"/>
        <w:rPr>
          <w:rFonts w:ascii="Arial" w:hAnsi="Arial" w:cs="Arial"/>
          <w:u w:color="0000FF"/>
        </w:rPr>
      </w:pPr>
      <w:r>
        <w:rPr>
          <w:rFonts w:ascii="Arial" w:hAnsi="Arial" w:cs="Arial"/>
          <w:u w:color="0000FF"/>
        </w:rPr>
        <w:t xml:space="preserve">LEI DE DIRETRIZES ORÇAMENTÁRIAS </w:t>
      </w:r>
    </w:p>
    <w:p w:rsidR="00076F16" w:rsidRPr="003812A8" w:rsidRDefault="00076F16">
      <w:pPr>
        <w:jc w:val="center"/>
        <w:rPr>
          <w:rFonts w:ascii="Arial" w:hAnsi="Arial" w:cs="Arial"/>
          <w:u w:color="0000FF"/>
        </w:rPr>
      </w:pPr>
      <w:r w:rsidRPr="003812A8">
        <w:rPr>
          <w:rFonts w:ascii="Arial" w:hAnsi="Arial" w:cs="Arial"/>
          <w:u w:color="0000FF"/>
        </w:rPr>
        <w:t>ANEXO DE METAS FISCAIS</w:t>
      </w:r>
    </w:p>
    <w:p w:rsidR="00076F16" w:rsidRPr="003812A8" w:rsidRDefault="00076F16" w:rsidP="00076F16">
      <w:pPr>
        <w:jc w:val="center"/>
        <w:rPr>
          <w:rFonts w:ascii="Arial" w:hAnsi="Arial" w:cs="Arial"/>
          <w:u w:color="0000FF"/>
        </w:rPr>
      </w:pPr>
      <w:r w:rsidRPr="003812A8">
        <w:rPr>
          <w:rFonts w:ascii="Arial" w:hAnsi="Arial" w:cs="Arial"/>
          <w:u w:color="0000FF"/>
        </w:rPr>
        <w:t>PROJEÇÃO DA RENÚNCIA DE ORIGEM TRIBUTÁRIA</w:t>
      </w:r>
    </w:p>
    <w:p w:rsidR="00361D79" w:rsidRPr="003812A8" w:rsidRDefault="00076F16" w:rsidP="00076F16">
      <w:pPr>
        <w:jc w:val="center"/>
        <w:rPr>
          <w:rFonts w:ascii="Arial" w:hAnsi="Arial" w:cs="Arial"/>
          <w:u w:color="0000FF"/>
        </w:rPr>
      </w:pPr>
      <w:r w:rsidRPr="003812A8">
        <w:rPr>
          <w:rFonts w:ascii="Arial" w:hAnsi="Arial" w:cs="Arial"/>
          <w:u w:color="0000FF"/>
        </w:rPr>
        <w:t>PARA OS EXERCÍCIOS DE 201</w:t>
      </w:r>
      <w:r w:rsidR="00F7045C">
        <w:rPr>
          <w:rFonts w:ascii="Arial" w:hAnsi="Arial" w:cs="Arial"/>
          <w:u w:color="0000FF"/>
        </w:rPr>
        <w:t>4</w:t>
      </w:r>
      <w:r w:rsidRPr="003812A8">
        <w:rPr>
          <w:rFonts w:ascii="Arial" w:hAnsi="Arial" w:cs="Arial"/>
          <w:u w:color="0000FF"/>
        </w:rPr>
        <w:t xml:space="preserve"> A 201</w:t>
      </w:r>
      <w:r w:rsidR="00F7045C">
        <w:rPr>
          <w:rFonts w:ascii="Arial" w:hAnsi="Arial" w:cs="Arial"/>
          <w:u w:color="0000FF"/>
        </w:rPr>
        <w:t>6</w:t>
      </w:r>
    </w:p>
    <w:p w:rsidR="00076F16" w:rsidRPr="003812A8" w:rsidRDefault="00076F16" w:rsidP="00076F16">
      <w:pPr>
        <w:jc w:val="center"/>
        <w:rPr>
          <w:rFonts w:ascii="Arial" w:hAnsi="Arial" w:cs="Arial"/>
          <w:u w:color="0000FF"/>
        </w:rPr>
      </w:pPr>
    </w:p>
    <w:p w:rsidR="00076F16" w:rsidRPr="003812A8" w:rsidRDefault="00076F16">
      <w:pPr>
        <w:jc w:val="center"/>
        <w:rPr>
          <w:rFonts w:ascii="Arial" w:hAnsi="Arial" w:cs="Arial"/>
          <w:u w:color="0000FF"/>
          <w:lang w:val="en-US"/>
        </w:rPr>
      </w:pPr>
      <w:r w:rsidRPr="003812A8">
        <w:rPr>
          <w:rFonts w:ascii="Arial" w:hAnsi="Arial" w:cs="Arial"/>
          <w:u w:color="0000FF"/>
          <w:lang w:val="en-US"/>
        </w:rPr>
        <w:t>(Art. 4º, §2º, V, da LRF)</w:t>
      </w:r>
    </w:p>
    <w:p w:rsidR="00544CE4" w:rsidRPr="003812A8" w:rsidRDefault="00544CE4">
      <w:pPr>
        <w:jc w:val="center"/>
        <w:rPr>
          <w:rFonts w:ascii="Arial" w:hAnsi="Arial" w:cs="Arial"/>
          <w:u w:color="0000FF"/>
          <w:lang w:val="en-US"/>
        </w:rPr>
      </w:pPr>
    </w:p>
    <w:p w:rsidR="00076F16" w:rsidRPr="003812A8" w:rsidRDefault="00076F16">
      <w:pPr>
        <w:jc w:val="center"/>
        <w:rPr>
          <w:rFonts w:ascii="Arial" w:hAnsi="Arial" w:cs="Arial"/>
          <w:u w:color="0000FF"/>
          <w:lang w:val="en-US"/>
        </w:rPr>
      </w:pPr>
    </w:p>
    <w:p w:rsidR="00DC777E" w:rsidRDefault="00DC777E" w:rsidP="00DC777E">
      <w:pPr>
        <w:rPr>
          <w:rFonts w:ascii="Arial" w:hAnsi="Arial"/>
          <w:b/>
          <w:sz w:val="22"/>
          <w:u w:color="0000FF"/>
        </w:rPr>
      </w:pPr>
      <w:r>
        <w:rPr>
          <w:rFonts w:ascii="Arial" w:hAnsi="Arial"/>
          <w:b/>
          <w:sz w:val="22"/>
          <w:u w:color="0000FF"/>
        </w:rPr>
        <w:t>METODOLOGIA</w:t>
      </w:r>
    </w:p>
    <w:p w:rsidR="00DC777E" w:rsidRDefault="00DC777E" w:rsidP="00DC777E">
      <w:pPr>
        <w:pStyle w:val="Recuodecorpodetexto2"/>
        <w:ind w:right="-476"/>
        <w:rPr>
          <w:rFonts w:ascii="Arial" w:hAnsi="Arial"/>
          <w:u w:color="0000FF"/>
        </w:rPr>
      </w:pPr>
    </w:p>
    <w:p w:rsidR="00DC777E" w:rsidRDefault="00DC777E" w:rsidP="00DC777E">
      <w:pPr>
        <w:pStyle w:val="Recuodecorpodetexto2"/>
        <w:ind w:right="-476"/>
        <w:rPr>
          <w:rFonts w:ascii="Arial" w:hAnsi="Arial"/>
          <w:u w:color="0000FF"/>
        </w:rPr>
      </w:pPr>
      <w:r>
        <w:rPr>
          <w:rFonts w:ascii="Arial" w:hAnsi="Arial"/>
          <w:u w:color="0000FF"/>
        </w:rPr>
        <w:t>Com vistas a atender ao disposto no a</w:t>
      </w:r>
      <w:r>
        <w:rPr>
          <w:rFonts w:ascii="Arial" w:hAnsi="Arial"/>
          <w:color w:val="000000"/>
          <w:u w:color="0000FF"/>
        </w:rPr>
        <w:t xml:space="preserve">rt. </w:t>
      </w:r>
      <w:r>
        <w:rPr>
          <w:rFonts w:ascii="Arial" w:hAnsi="Arial" w:cs="Arial"/>
          <w:color w:val="000000"/>
        </w:rPr>
        <w:t>4º, §2º, V, da</w:t>
      </w:r>
      <w:r>
        <w:rPr>
          <w:rFonts w:ascii="Arial" w:hAnsi="Arial"/>
          <w:color w:val="000000"/>
          <w:u w:color="0000FF"/>
        </w:rPr>
        <w:t xml:space="preserve"> Lei </w:t>
      </w:r>
      <w:r>
        <w:rPr>
          <w:rFonts w:ascii="Arial" w:hAnsi="Arial"/>
          <w:u w:color="0000FF"/>
        </w:rPr>
        <w:t xml:space="preserve">Complementar nº 101, de 04/05/2000 (Lei de Responsabilidade Fiscal - LRF) e subsidiar a elaboração do Projeto da Lei de Diretrizes Orçamentárias para o exercício financeiro de 2014, este estudo apresenta a projeção da renúncia das receitas de origem tributária do Distrito Federal, administradas pela Subsecretaria da Receita da Secretaria de Estado de Fazenda, para os exercícios de </w:t>
      </w:r>
      <w:smartTag w:uri="urn:schemas-microsoft-com:office:smarttags" w:element="metricconverter">
        <w:smartTagPr>
          <w:attr w:name="ProductID" w:val="2014 A"/>
        </w:smartTagPr>
        <w:r>
          <w:rPr>
            <w:rFonts w:ascii="Arial" w:hAnsi="Arial"/>
            <w:u w:color="0000FF"/>
          </w:rPr>
          <w:t>2014 a</w:t>
        </w:r>
      </w:smartTag>
      <w:r>
        <w:rPr>
          <w:rFonts w:ascii="Arial" w:hAnsi="Arial"/>
          <w:u w:color="0000FF"/>
        </w:rPr>
        <w:t xml:space="preserve"> 2016, utilizando-se a seguinte metodologia:</w:t>
      </w:r>
    </w:p>
    <w:p w:rsidR="00DC777E" w:rsidRDefault="00DC777E" w:rsidP="00DC777E">
      <w:pPr>
        <w:pStyle w:val="Recuodecorpodetexto2"/>
        <w:ind w:right="-476"/>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 xml:space="preserve">Inicialmente, foi realizado o levantamento do quadro legal dos benefícios tributários classificados pela Coordenação de Tributação da Subsecretaria da Receita como renúncia de receita, nos termos do art. 14 da Lei Complementar nº 101, de 04/05/2000 (Lei de Responsabilidade Fiscal </w:t>
      </w:r>
      <w:proofErr w:type="gramStart"/>
      <w:r>
        <w:rPr>
          <w:rFonts w:ascii="Arial" w:hAnsi="Arial"/>
          <w:u w:color="0000FF"/>
        </w:rPr>
        <w:t>-</w:t>
      </w:r>
      <w:proofErr w:type="gramEnd"/>
      <w:r>
        <w:rPr>
          <w:rFonts w:ascii="Arial" w:hAnsi="Arial"/>
          <w:u w:color="0000FF"/>
        </w:rPr>
        <w:t xml:space="preserve"> </w:t>
      </w:r>
      <w:proofErr w:type="gramStart"/>
      <w:r>
        <w:rPr>
          <w:rFonts w:ascii="Arial" w:hAnsi="Arial"/>
          <w:u w:color="0000FF"/>
        </w:rPr>
        <w:t>LRF)</w:t>
      </w:r>
      <w:proofErr w:type="gramEnd"/>
      <w:r>
        <w:rPr>
          <w:rFonts w:ascii="Arial" w:hAnsi="Arial"/>
          <w:u w:color="0000FF"/>
        </w:rPr>
        <w:t>. A partir destes dados e c</w:t>
      </w:r>
      <w:r w:rsidRPr="00011566">
        <w:rPr>
          <w:rFonts w:ascii="Arial" w:hAnsi="Arial"/>
          <w:u w:color="0000FF"/>
        </w:rPr>
        <w:t>om base na observação de períodos anteriores, consider</w:t>
      </w:r>
      <w:r>
        <w:rPr>
          <w:rFonts w:ascii="Arial" w:hAnsi="Arial"/>
          <w:u w:color="0000FF"/>
        </w:rPr>
        <w:t>ou-se</w:t>
      </w:r>
      <w:r w:rsidRPr="00011566">
        <w:rPr>
          <w:rFonts w:ascii="Arial" w:hAnsi="Arial"/>
          <w:u w:color="0000FF"/>
        </w:rPr>
        <w:t xml:space="preserve"> a </w:t>
      </w:r>
      <w:r>
        <w:rPr>
          <w:rFonts w:ascii="Arial" w:hAnsi="Arial"/>
          <w:u w:color="0000FF"/>
        </w:rPr>
        <w:t>manutenção e prorrogação</w:t>
      </w:r>
      <w:r w:rsidRPr="00011566">
        <w:rPr>
          <w:rFonts w:ascii="Arial" w:hAnsi="Arial"/>
          <w:u w:color="0000FF"/>
        </w:rPr>
        <w:t xml:space="preserve"> </w:t>
      </w:r>
      <w:r>
        <w:rPr>
          <w:rFonts w:ascii="Arial" w:hAnsi="Arial"/>
          <w:u w:color="0000FF"/>
        </w:rPr>
        <w:t xml:space="preserve">da totalidade das leis e convênios ICMS/CONFAZ que concedem </w:t>
      </w:r>
      <w:r w:rsidRPr="00011566">
        <w:rPr>
          <w:rFonts w:ascii="Arial" w:hAnsi="Arial"/>
          <w:u w:color="0000FF"/>
        </w:rPr>
        <w:t xml:space="preserve">os atuais benefícios </w:t>
      </w:r>
      <w:r>
        <w:rPr>
          <w:rFonts w:ascii="Arial" w:hAnsi="Arial"/>
          <w:u w:color="0000FF"/>
        </w:rPr>
        <w:t xml:space="preserve">fiscais, por todo o período do </w:t>
      </w:r>
      <w:r w:rsidRPr="00011566">
        <w:rPr>
          <w:rFonts w:ascii="Arial" w:hAnsi="Arial"/>
          <w:u w:color="0000FF"/>
        </w:rPr>
        <w:t>próximo plano plurianual (2012-2015)</w:t>
      </w:r>
      <w:r>
        <w:rPr>
          <w:rFonts w:ascii="Arial" w:hAnsi="Arial"/>
          <w:u w:color="0000FF"/>
        </w:rPr>
        <w:t xml:space="preserve">. </w:t>
      </w:r>
    </w:p>
    <w:p w:rsidR="00DC777E" w:rsidRDefault="00DC777E" w:rsidP="00DC777E">
      <w:pPr>
        <w:pStyle w:val="Recuodecorpodetexto2"/>
        <w:ind w:right="-476" w:firstLine="0"/>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 xml:space="preserve">Para os itens com registro de fruição no exercício de </w:t>
      </w:r>
      <w:smartTag w:uri="urn:schemas-microsoft-com:office:smarttags" w:element="metricconverter">
        <w:smartTagPr>
          <w:attr w:name="ProductID" w:val="2012, a"/>
        </w:smartTagPr>
        <w:r>
          <w:rPr>
            <w:rFonts w:ascii="Arial" w:hAnsi="Arial"/>
            <w:u w:color="0000FF"/>
          </w:rPr>
          <w:t>2012, a</w:t>
        </w:r>
      </w:smartTag>
      <w:r>
        <w:rPr>
          <w:rFonts w:ascii="Arial" w:hAnsi="Arial"/>
          <w:u w:color="0000FF"/>
        </w:rPr>
        <w:t xml:space="preserve"> projeção da renúncia de receita para </w:t>
      </w:r>
      <w:smartTag w:uri="urn:schemas-microsoft-com:office:smarttags" w:element="metricconverter">
        <w:smartTagPr>
          <w:attr w:name="ProductID" w:val="2014 A"/>
        </w:smartTagPr>
        <w:r>
          <w:rPr>
            <w:rFonts w:ascii="Arial" w:hAnsi="Arial"/>
            <w:u w:color="0000FF"/>
          </w:rPr>
          <w:t>2014 a</w:t>
        </w:r>
      </w:smartTag>
      <w:r>
        <w:rPr>
          <w:rFonts w:ascii="Arial" w:hAnsi="Arial"/>
          <w:u w:color="0000FF"/>
        </w:rPr>
        <w:t xml:space="preserve"> 2016 consistiu na atualização monetária dos valores realizados em 2012.</w:t>
      </w:r>
    </w:p>
    <w:p w:rsidR="00DC777E" w:rsidRDefault="00DC777E" w:rsidP="00DC777E">
      <w:pPr>
        <w:pStyle w:val="Recuodecorpodetexto2"/>
        <w:ind w:right="-476" w:firstLine="0"/>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 xml:space="preserve">Para os itens cuja apuração de realização é efetivada indiretamente por meio de estimativas, bem como para a reserva com vistas à </w:t>
      </w:r>
      <w:proofErr w:type="gramStart"/>
      <w:r w:rsidRPr="00A14D94">
        <w:rPr>
          <w:rFonts w:ascii="Arial" w:hAnsi="Arial"/>
          <w:u w:color="0000FF"/>
        </w:rPr>
        <w:t>implementação</w:t>
      </w:r>
      <w:proofErr w:type="gramEnd"/>
      <w:r w:rsidRPr="00A14D94">
        <w:rPr>
          <w:rFonts w:ascii="Arial" w:hAnsi="Arial"/>
          <w:u w:color="0000FF"/>
        </w:rPr>
        <w:t xml:space="preserve"> de renúncias não previstas a serem concedidas de acordo com a LC n° 24/75</w:t>
      </w:r>
      <w:r>
        <w:rPr>
          <w:rFonts w:ascii="Arial" w:hAnsi="Arial"/>
          <w:u w:color="0000FF"/>
        </w:rPr>
        <w:t>, a atualização partiu dos valores já previstos no PLOA/2013.</w:t>
      </w:r>
    </w:p>
    <w:p w:rsidR="00DC777E" w:rsidRDefault="00DC777E" w:rsidP="00DC777E">
      <w:pPr>
        <w:pStyle w:val="Recuodecorpodetexto2"/>
        <w:ind w:right="-476" w:firstLine="0"/>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Para os benefícios sem registro de fruição ou estimativa para 2012, os valores foram estimados a partir de informações dos cadastros de contribuintes da Secretaria de Estado de Fazenda, assim como por consultas a outros órgãos públicos e entidades de Direito Privado.</w:t>
      </w:r>
    </w:p>
    <w:p w:rsidR="00DC777E" w:rsidRDefault="00DC777E" w:rsidP="00DC777E">
      <w:pPr>
        <w:pStyle w:val="Recuodecorpodetexto2"/>
        <w:ind w:right="-476" w:firstLine="0"/>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 xml:space="preserve">Na impossibilidade da coleta das informações cadastrais ou por consulta, ou nos casos em que se constata a ausência absoluta de fruição (realização igual </w:t>
      </w:r>
      <w:proofErr w:type="gramStart"/>
      <w:r>
        <w:rPr>
          <w:rFonts w:ascii="Arial" w:hAnsi="Arial"/>
          <w:u w:color="0000FF"/>
        </w:rPr>
        <w:t>a</w:t>
      </w:r>
      <w:proofErr w:type="gramEnd"/>
      <w:r>
        <w:rPr>
          <w:rFonts w:ascii="Arial" w:hAnsi="Arial"/>
          <w:u w:color="0000FF"/>
        </w:rPr>
        <w:t xml:space="preserve"> zero), a estimativa considerada corresponde ao menor valor realizado em 2012 para tributo de mesma natureza,</w:t>
      </w:r>
      <w:r w:rsidRPr="00051BA1">
        <w:rPr>
          <w:rFonts w:ascii="Arial" w:hAnsi="Arial"/>
          <w:u w:color="0000FF"/>
        </w:rPr>
        <w:t xml:space="preserve"> </w:t>
      </w:r>
      <w:r>
        <w:rPr>
          <w:rFonts w:ascii="Arial" w:hAnsi="Arial"/>
          <w:u w:color="0000FF"/>
        </w:rPr>
        <w:t>atualizado monetariamente (ICMS = R$ 13.809,00; IPVA = R$ 2.165,00; IPTU e ITBI = R$ 81.498,00).</w:t>
      </w:r>
    </w:p>
    <w:p w:rsidR="00DC777E" w:rsidRDefault="00DC777E" w:rsidP="00DC777E">
      <w:pPr>
        <w:pStyle w:val="Recuodecorpodetexto2"/>
        <w:ind w:right="-476" w:firstLine="0"/>
        <w:rPr>
          <w:rFonts w:ascii="Arial" w:hAnsi="Arial"/>
          <w:u w:color="0000FF"/>
        </w:rPr>
      </w:pPr>
    </w:p>
    <w:p w:rsidR="00DC777E" w:rsidRDefault="00DC777E" w:rsidP="00DC777E">
      <w:pPr>
        <w:pStyle w:val="Recuodecorpodetexto2"/>
        <w:numPr>
          <w:ilvl w:val="0"/>
          <w:numId w:val="1"/>
        </w:numPr>
        <w:ind w:right="-476"/>
        <w:rPr>
          <w:rFonts w:ascii="Arial" w:hAnsi="Arial"/>
          <w:u w:color="0000FF"/>
        </w:rPr>
      </w:pPr>
      <w:r>
        <w:rPr>
          <w:rFonts w:ascii="Arial" w:hAnsi="Arial"/>
          <w:u w:color="0000FF"/>
        </w:rPr>
        <w:t xml:space="preserve">A atualização monetária referida nos itens anteriores se deu pela aplicação de índices médios estimados, construídos com base na </w:t>
      </w:r>
      <w:r>
        <w:rPr>
          <w:rFonts w:ascii="Arial" w:hAnsi="Arial"/>
        </w:rPr>
        <w:t xml:space="preserve">expectativa do </w:t>
      </w:r>
      <w:r>
        <w:rPr>
          <w:rFonts w:ascii="Arial" w:hAnsi="Arial"/>
        </w:rPr>
        <w:lastRenderedPageBreak/>
        <w:t xml:space="preserve">mercado financeiro para a variação do INPC/IBGE para os exercícios de </w:t>
      </w:r>
      <w:smartTag w:uri="urn:schemas-microsoft-com:office:smarttags" w:element="metricconverter">
        <w:smartTagPr>
          <w:attr w:name="ProductID" w:val="2014 A"/>
        </w:smartTagPr>
        <w:r>
          <w:rPr>
            <w:rFonts w:ascii="Arial" w:hAnsi="Arial"/>
          </w:rPr>
          <w:t>2014 a</w:t>
        </w:r>
      </w:smartTag>
      <w:r>
        <w:rPr>
          <w:rFonts w:ascii="Arial" w:hAnsi="Arial"/>
        </w:rPr>
        <w:t xml:space="preserve"> 2016</w:t>
      </w:r>
      <w:r>
        <w:rPr>
          <w:rStyle w:val="Refdenotaderodap"/>
          <w:rFonts w:ascii="Arial" w:hAnsi="Arial"/>
        </w:rPr>
        <w:footnoteReference w:id="1"/>
      </w:r>
      <w:r>
        <w:rPr>
          <w:rFonts w:ascii="Arial" w:hAnsi="Arial"/>
        </w:rPr>
        <w:t>.</w:t>
      </w:r>
    </w:p>
    <w:p w:rsidR="00DC777E" w:rsidRDefault="00DC777E" w:rsidP="00DC777E">
      <w:pPr>
        <w:pStyle w:val="Recuodecorpodetexto2"/>
        <w:ind w:firstLine="2880"/>
        <w:jc w:val="left"/>
        <w:rPr>
          <w:rFonts w:ascii="Arial" w:hAnsi="Arial"/>
          <w:b/>
        </w:rPr>
      </w:pPr>
    </w:p>
    <w:p w:rsidR="00DC777E" w:rsidRDefault="00DC777E" w:rsidP="00DC777E">
      <w:pPr>
        <w:pStyle w:val="Recuodecorpodetexto2"/>
        <w:ind w:firstLine="2880"/>
        <w:jc w:val="left"/>
        <w:rPr>
          <w:rFonts w:ascii="Arial" w:hAnsi="Arial"/>
          <w:b/>
        </w:rPr>
      </w:pPr>
      <w:r>
        <w:rPr>
          <w:rFonts w:ascii="Arial" w:hAnsi="Arial"/>
          <w:b/>
        </w:rPr>
        <w:t>INPC/IBGE – ÍNDICES MÉDIOS ACUMULADOS</w:t>
      </w:r>
    </w:p>
    <w:tbl>
      <w:tblPr>
        <w:tblW w:w="655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1262"/>
        <w:gridCol w:w="1328"/>
        <w:gridCol w:w="1260"/>
        <w:gridCol w:w="1440"/>
      </w:tblGrid>
      <w:tr w:rsidR="00DC777E" w:rsidTr="00C87517">
        <w:tblPrEx>
          <w:tblCellMar>
            <w:top w:w="0" w:type="dxa"/>
            <w:bottom w:w="0" w:type="dxa"/>
          </w:tblCellMar>
        </w:tblPrEx>
        <w:tc>
          <w:tcPr>
            <w:tcW w:w="1260" w:type="dxa"/>
          </w:tcPr>
          <w:p w:rsidR="00DC777E" w:rsidRDefault="00DC777E" w:rsidP="00C87517">
            <w:pPr>
              <w:pStyle w:val="Recuodecorpodetexto2"/>
              <w:ind w:firstLine="0"/>
              <w:jc w:val="center"/>
              <w:rPr>
                <w:rFonts w:ascii="Arial" w:hAnsi="Arial"/>
                <w:b/>
              </w:rPr>
            </w:pPr>
            <w:r>
              <w:rPr>
                <w:rFonts w:ascii="Arial" w:hAnsi="Arial"/>
                <w:b/>
              </w:rPr>
              <w:t>Ano Base</w:t>
            </w:r>
          </w:p>
        </w:tc>
        <w:tc>
          <w:tcPr>
            <w:tcW w:w="1262" w:type="dxa"/>
          </w:tcPr>
          <w:p w:rsidR="00DC777E" w:rsidRDefault="00DC777E" w:rsidP="00C87517">
            <w:pPr>
              <w:pStyle w:val="Recuodecorpodetexto2"/>
              <w:ind w:firstLine="0"/>
              <w:jc w:val="center"/>
              <w:rPr>
                <w:rFonts w:ascii="Arial" w:hAnsi="Arial"/>
                <w:b/>
              </w:rPr>
            </w:pPr>
            <w:r>
              <w:rPr>
                <w:rFonts w:ascii="Arial" w:hAnsi="Arial"/>
                <w:b/>
              </w:rPr>
              <w:t>2013</w:t>
            </w:r>
          </w:p>
        </w:tc>
        <w:tc>
          <w:tcPr>
            <w:tcW w:w="1328" w:type="dxa"/>
          </w:tcPr>
          <w:p w:rsidR="00DC777E" w:rsidRDefault="00DC777E" w:rsidP="00C87517">
            <w:pPr>
              <w:pStyle w:val="Recuodecorpodetexto2"/>
              <w:ind w:firstLine="0"/>
              <w:jc w:val="center"/>
              <w:rPr>
                <w:rFonts w:ascii="Arial" w:hAnsi="Arial"/>
                <w:b/>
              </w:rPr>
            </w:pPr>
            <w:r>
              <w:rPr>
                <w:rFonts w:ascii="Arial" w:hAnsi="Arial"/>
                <w:b/>
              </w:rPr>
              <w:t>2014</w:t>
            </w:r>
          </w:p>
        </w:tc>
        <w:tc>
          <w:tcPr>
            <w:tcW w:w="1260" w:type="dxa"/>
          </w:tcPr>
          <w:p w:rsidR="00DC777E" w:rsidRDefault="00DC777E" w:rsidP="00C87517">
            <w:pPr>
              <w:pStyle w:val="Recuodecorpodetexto2"/>
              <w:ind w:firstLine="0"/>
              <w:jc w:val="center"/>
              <w:rPr>
                <w:rFonts w:ascii="Arial" w:hAnsi="Arial"/>
                <w:b/>
              </w:rPr>
            </w:pPr>
            <w:r>
              <w:rPr>
                <w:rFonts w:ascii="Arial" w:hAnsi="Arial"/>
                <w:b/>
              </w:rPr>
              <w:t>2015</w:t>
            </w:r>
          </w:p>
        </w:tc>
        <w:tc>
          <w:tcPr>
            <w:tcW w:w="1440" w:type="dxa"/>
          </w:tcPr>
          <w:p w:rsidR="00DC777E" w:rsidRDefault="00DC777E" w:rsidP="00C87517">
            <w:pPr>
              <w:pStyle w:val="Recuodecorpodetexto2"/>
              <w:ind w:firstLine="0"/>
              <w:jc w:val="center"/>
              <w:rPr>
                <w:rFonts w:ascii="Arial" w:hAnsi="Arial"/>
                <w:b/>
              </w:rPr>
            </w:pPr>
            <w:r>
              <w:rPr>
                <w:rFonts w:ascii="Arial" w:hAnsi="Arial"/>
                <w:b/>
              </w:rPr>
              <w:t>2016</w:t>
            </w:r>
          </w:p>
        </w:tc>
      </w:tr>
      <w:tr w:rsidR="00DC777E" w:rsidTr="00C87517">
        <w:tblPrEx>
          <w:tblCellMar>
            <w:top w:w="0" w:type="dxa"/>
            <w:bottom w:w="0" w:type="dxa"/>
          </w:tblCellMar>
        </w:tblPrEx>
        <w:tc>
          <w:tcPr>
            <w:tcW w:w="1260" w:type="dxa"/>
            <w:vAlign w:val="bottom"/>
          </w:tcPr>
          <w:p w:rsidR="00DC777E" w:rsidRDefault="00DC777E" w:rsidP="00C87517">
            <w:pPr>
              <w:jc w:val="center"/>
              <w:rPr>
                <w:rFonts w:ascii="Arial" w:hAnsi="Arial"/>
                <w:snapToGrid w:val="0"/>
                <w:color w:val="000000"/>
                <w:sz w:val="22"/>
              </w:rPr>
            </w:pPr>
            <w:r>
              <w:rPr>
                <w:rFonts w:ascii="Arial" w:hAnsi="Arial"/>
                <w:snapToGrid w:val="0"/>
                <w:color w:val="000000"/>
                <w:sz w:val="22"/>
              </w:rPr>
              <w:t>2012</w:t>
            </w:r>
          </w:p>
        </w:tc>
        <w:tc>
          <w:tcPr>
            <w:tcW w:w="1262" w:type="dxa"/>
            <w:vAlign w:val="bottom"/>
          </w:tcPr>
          <w:p w:rsidR="00DC777E" w:rsidRPr="00623681" w:rsidRDefault="00DC777E" w:rsidP="00C87517">
            <w:pPr>
              <w:jc w:val="center"/>
              <w:rPr>
                <w:rFonts w:ascii="Arial" w:hAnsi="Arial" w:cs="Arial"/>
                <w:sz w:val="20"/>
                <w:szCs w:val="20"/>
              </w:rPr>
            </w:pPr>
            <w:r>
              <w:rPr>
                <w:rFonts w:ascii="Arial" w:hAnsi="Arial" w:cs="Arial"/>
                <w:sz w:val="20"/>
                <w:szCs w:val="20"/>
              </w:rPr>
              <w:t>1,06354</w:t>
            </w:r>
          </w:p>
        </w:tc>
        <w:tc>
          <w:tcPr>
            <w:tcW w:w="1328" w:type="dxa"/>
            <w:vAlign w:val="bottom"/>
          </w:tcPr>
          <w:p w:rsidR="00DC777E" w:rsidRPr="00623681" w:rsidRDefault="00DC777E" w:rsidP="00C87517">
            <w:pPr>
              <w:jc w:val="center"/>
              <w:rPr>
                <w:rFonts w:ascii="Arial" w:hAnsi="Arial" w:cs="Arial"/>
                <w:sz w:val="20"/>
                <w:szCs w:val="20"/>
              </w:rPr>
            </w:pPr>
            <w:r>
              <w:rPr>
                <w:rFonts w:ascii="Arial" w:hAnsi="Arial" w:cs="Arial"/>
                <w:sz w:val="20"/>
                <w:szCs w:val="20"/>
              </w:rPr>
              <w:t>1,11606</w:t>
            </w:r>
          </w:p>
        </w:tc>
        <w:tc>
          <w:tcPr>
            <w:tcW w:w="1260" w:type="dxa"/>
            <w:vAlign w:val="bottom"/>
          </w:tcPr>
          <w:p w:rsidR="00DC777E" w:rsidRPr="00623681" w:rsidRDefault="00DC777E" w:rsidP="00C87517">
            <w:pPr>
              <w:jc w:val="center"/>
              <w:rPr>
                <w:rFonts w:ascii="Arial" w:hAnsi="Arial" w:cs="Arial"/>
                <w:sz w:val="20"/>
                <w:szCs w:val="20"/>
              </w:rPr>
            </w:pPr>
            <w:r>
              <w:rPr>
                <w:rFonts w:ascii="Arial" w:hAnsi="Arial" w:cs="Arial"/>
                <w:sz w:val="20"/>
                <w:szCs w:val="20"/>
              </w:rPr>
              <w:t>1,17305</w:t>
            </w:r>
          </w:p>
        </w:tc>
        <w:tc>
          <w:tcPr>
            <w:tcW w:w="1440" w:type="dxa"/>
            <w:vAlign w:val="bottom"/>
          </w:tcPr>
          <w:p w:rsidR="00DC777E" w:rsidRPr="00F55945" w:rsidRDefault="00DC777E" w:rsidP="00C87517">
            <w:pPr>
              <w:jc w:val="center"/>
              <w:rPr>
                <w:rFonts w:ascii="Arial" w:hAnsi="Arial" w:cs="Arial"/>
                <w:sz w:val="20"/>
                <w:szCs w:val="20"/>
              </w:rPr>
            </w:pPr>
            <w:r>
              <w:rPr>
                <w:rFonts w:ascii="Arial" w:hAnsi="Arial" w:cs="Arial"/>
                <w:sz w:val="20"/>
                <w:szCs w:val="20"/>
              </w:rPr>
              <w:t>1,22952</w:t>
            </w:r>
          </w:p>
        </w:tc>
      </w:tr>
    </w:tbl>
    <w:p w:rsidR="00DC777E" w:rsidRDefault="00DC777E" w:rsidP="00DC777E">
      <w:pPr>
        <w:ind w:right="-476"/>
        <w:rPr>
          <w:rFonts w:ascii="Arial" w:hAnsi="Arial"/>
          <w:b/>
          <w:sz w:val="22"/>
          <w:u w:color="0000FF"/>
        </w:rPr>
      </w:pPr>
    </w:p>
    <w:p w:rsidR="00DC777E" w:rsidRDefault="00DC777E" w:rsidP="00DC777E">
      <w:pPr>
        <w:pStyle w:val="Recuodecorpodetexto2"/>
        <w:spacing w:after="240"/>
        <w:ind w:right="-476"/>
        <w:rPr>
          <w:rFonts w:ascii="Arial" w:hAnsi="Arial"/>
          <w:u w:color="0000FF"/>
        </w:rPr>
      </w:pPr>
      <w:r>
        <w:rPr>
          <w:rFonts w:ascii="Arial" w:hAnsi="Arial"/>
          <w:u w:color="0000FF"/>
        </w:rPr>
        <w:t>A utilização dos valores da renúncia ocorrida para projeção da renúncia futura justifica-se pela expectativa de que parte dos benefícios atualmente vigentes ainda estará em vigor nos exercícios seguintes, assim como pela contribuição que uma série histórica oferece na modelagem do comportamento de uma variável.</w:t>
      </w:r>
    </w:p>
    <w:p w:rsidR="00DC777E" w:rsidRDefault="00DC777E" w:rsidP="00DC777E">
      <w:pPr>
        <w:pStyle w:val="Recuodecorpodetexto2"/>
        <w:spacing w:after="240"/>
        <w:ind w:right="-476"/>
        <w:rPr>
          <w:rFonts w:ascii="Arial" w:hAnsi="Arial"/>
          <w:u w:color="0000FF"/>
        </w:rPr>
      </w:pPr>
      <w:r>
        <w:rPr>
          <w:rFonts w:ascii="Arial" w:hAnsi="Arial"/>
          <w:u w:color="0000FF"/>
        </w:rPr>
        <w:t>Assim, consideraram-se os benefícios concedidos e registrados pelas unidades da Subsecretaria da Receita da Secretaria de Estado de Fazenda ao longo de 2012, por meio de Atos Declaratórios, Despachos de Reconhecimento e de alterações de ofício em sistemas do Órgão.</w:t>
      </w:r>
    </w:p>
    <w:p w:rsidR="00DC777E" w:rsidRDefault="00DC777E" w:rsidP="00DC777E">
      <w:pPr>
        <w:pStyle w:val="Ttulo4"/>
        <w:spacing w:after="360"/>
        <w:jc w:val="left"/>
        <w:rPr>
          <w:u w:color="0000FF"/>
        </w:rPr>
      </w:pPr>
      <w:r>
        <w:rPr>
          <w:u w:color="0000FF"/>
        </w:rPr>
        <w:t>RESULTADOS</w:t>
      </w:r>
    </w:p>
    <w:p w:rsidR="00DC777E" w:rsidRDefault="00DC777E" w:rsidP="00DC777E">
      <w:pPr>
        <w:pStyle w:val="Recuodecorpodetexto2"/>
        <w:spacing w:after="240"/>
        <w:ind w:right="-476"/>
        <w:rPr>
          <w:rFonts w:ascii="Arial" w:hAnsi="Arial" w:cs="Arial"/>
          <w:u w:color="0000FF"/>
        </w:rPr>
      </w:pPr>
      <w:r w:rsidRPr="002C56A4">
        <w:rPr>
          <w:rFonts w:ascii="Arial" w:hAnsi="Arial" w:cs="Arial"/>
          <w:u w:color="0000FF"/>
        </w:rPr>
        <w:t>Os valores previstos para os benefícios no âmbito do ICMS, ISS, IPVA, IPTU, ITBI, ITCD, TLP, Multas e Juros</w:t>
      </w:r>
      <w:r>
        <w:rPr>
          <w:rFonts w:ascii="Arial" w:hAnsi="Arial" w:cs="Arial"/>
          <w:u w:color="0000FF"/>
        </w:rPr>
        <w:t xml:space="preserve"> e Dívida Ativa</w:t>
      </w:r>
      <w:r w:rsidRPr="002C56A4">
        <w:rPr>
          <w:rFonts w:ascii="Arial" w:hAnsi="Arial" w:cs="Arial"/>
          <w:u w:color="0000FF"/>
        </w:rPr>
        <w:t xml:space="preserve"> encontram-se nos demonstrativos anexos, classificados por natureza (isenção, redução de base de cálculo, anistia, crédito presumido e remissão), com breve descrição e fundamento legal.</w:t>
      </w:r>
      <w:r>
        <w:rPr>
          <w:rFonts w:ascii="Arial" w:hAnsi="Arial" w:cs="Arial"/>
          <w:u w:color="0000FF"/>
        </w:rPr>
        <w:t xml:space="preserve"> </w:t>
      </w:r>
    </w:p>
    <w:p w:rsidR="00DC777E" w:rsidRPr="005D41AF" w:rsidRDefault="00DC777E" w:rsidP="00DC777E">
      <w:pPr>
        <w:pStyle w:val="Textodenotaderodap"/>
        <w:spacing w:after="240"/>
        <w:ind w:right="-427" w:firstLine="720"/>
        <w:jc w:val="both"/>
        <w:rPr>
          <w:rFonts w:ascii="Arial" w:hAnsi="Arial"/>
          <w:sz w:val="22"/>
          <w:u w:color="0000FF"/>
        </w:rPr>
      </w:pPr>
      <w:r w:rsidRPr="005D41AF">
        <w:rPr>
          <w:rFonts w:ascii="Arial" w:hAnsi="Arial"/>
          <w:sz w:val="22"/>
          <w:u w:color="0000FF"/>
        </w:rPr>
        <w:t xml:space="preserve">Assim, a projeção da renúncia totalizou </w:t>
      </w:r>
      <w:r w:rsidRPr="00E20C26">
        <w:rPr>
          <w:rFonts w:ascii="Arial" w:hAnsi="Arial"/>
          <w:sz w:val="22"/>
          <w:u w:color="0000FF"/>
        </w:rPr>
        <w:t xml:space="preserve">R$ </w:t>
      </w:r>
      <w:r>
        <w:rPr>
          <w:rFonts w:ascii="Arial" w:hAnsi="Arial"/>
          <w:sz w:val="22"/>
          <w:u w:color="0000FF"/>
        </w:rPr>
        <w:t>2.462,0</w:t>
      </w:r>
      <w:r w:rsidRPr="00E20C26">
        <w:rPr>
          <w:rFonts w:ascii="Arial" w:hAnsi="Arial"/>
          <w:sz w:val="22"/>
          <w:u w:color="0000FF"/>
        </w:rPr>
        <w:t xml:space="preserve"> milhões para 201</w:t>
      </w:r>
      <w:r>
        <w:rPr>
          <w:rFonts w:ascii="Arial" w:hAnsi="Arial"/>
          <w:sz w:val="22"/>
          <w:u w:color="0000FF"/>
        </w:rPr>
        <w:t>4</w:t>
      </w:r>
      <w:r w:rsidRPr="00E20C26">
        <w:rPr>
          <w:rFonts w:ascii="Arial" w:hAnsi="Arial"/>
          <w:sz w:val="22"/>
          <w:u w:color="0000FF"/>
        </w:rPr>
        <w:t xml:space="preserve">, R$ </w:t>
      </w:r>
      <w:r>
        <w:rPr>
          <w:rFonts w:ascii="Arial" w:hAnsi="Arial"/>
          <w:sz w:val="22"/>
          <w:u w:color="0000FF"/>
        </w:rPr>
        <w:t>2.187,3</w:t>
      </w:r>
      <w:r w:rsidRPr="00E20C26">
        <w:rPr>
          <w:rFonts w:ascii="Arial" w:hAnsi="Arial"/>
          <w:sz w:val="22"/>
          <w:u w:color="0000FF"/>
        </w:rPr>
        <w:t xml:space="preserve"> milhões para 201</w:t>
      </w:r>
      <w:r>
        <w:rPr>
          <w:rFonts w:ascii="Arial" w:hAnsi="Arial"/>
          <w:sz w:val="22"/>
          <w:u w:color="0000FF"/>
        </w:rPr>
        <w:t>5</w:t>
      </w:r>
      <w:r w:rsidRPr="00E20C26">
        <w:rPr>
          <w:rFonts w:ascii="Arial" w:hAnsi="Arial"/>
          <w:sz w:val="22"/>
          <w:u w:color="0000FF"/>
        </w:rPr>
        <w:t xml:space="preserve"> e R$ </w:t>
      </w:r>
      <w:r>
        <w:rPr>
          <w:rFonts w:ascii="Arial" w:hAnsi="Arial"/>
          <w:sz w:val="22"/>
          <w:u w:color="0000FF"/>
        </w:rPr>
        <w:t>1.948,4</w:t>
      </w:r>
      <w:r w:rsidRPr="00E20C26">
        <w:rPr>
          <w:rFonts w:ascii="Arial" w:hAnsi="Arial"/>
          <w:sz w:val="22"/>
          <w:u w:color="0000FF"/>
        </w:rPr>
        <w:t xml:space="preserve"> milhões para 201</w:t>
      </w:r>
      <w:r>
        <w:rPr>
          <w:rFonts w:ascii="Arial" w:hAnsi="Arial"/>
          <w:sz w:val="22"/>
          <w:u w:color="0000FF"/>
        </w:rPr>
        <w:t>6</w:t>
      </w:r>
      <w:r w:rsidRPr="005D41AF">
        <w:rPr>
          <w:rFonts w:ascii="Arial" w:hAnsi="Arial"/>
          <w:sz w:val="22"/>
          <w:u w:color="0000FF"/>
        </w:rPr>
        <w:t>, conforme tabela a seguir:</w:t>
      </w:r>
    </w:p>
    <w:p w:rsidR="00DC777E" w:rsidRDefault="00DC777E" w:rsidP="00DC777E">
      <w:pPr>
        <w:pStyle w:val="Textodenotaderodap"/>
        <w:ind w:right="-427"/>
        <w:rPr>
          <w:rFonts w:ascii="Arial" w:hAnsi="Arial" w:cs="Arial"/>
          <w:b/>
          <w:bCs/>
          <w:u w:color="0000FF"/>
        </w:rPr>
      </w:pPr>
      <w:r>
        <w:rPr>
          <w:rFonts w:ascii="Arial" w:hAnsi="Arial" w:cs="Arial"/>
          <w:b/>
          <w:bCs/>
          <w:u w:color="0000FF"/>
        </w:rPr>
        <w:t xml:space="preserve">                              </w:t>
      </w:r>
    </w:p>
    <w:p w:rsidR="00DC777E" w:rsidRPr="005D41AF" w:rsidRDefault="00DC777E" w:rsidP="00DC777E">
      <w:pPr>
        <w:pStyle w:val="Textodenotaderodap"/>
        <w:ind w:right="-427"/>
        <w:rPr>
          <w:rFonts w:ascii="Arial" w:hAnsi="Arial" w:cs="Arial"/>
          <w:u w:color="0000FF"/>
        </w:rPr>
      </w:pPr>
      <w:r>
        <w:rPr>
          <w:rFonts w:ascii="Arial" w:hAnsi="Arial" w:cs="Arial"/>
          <w:b/>
          <w:bCs/>
          <w:u w:color="0000FF"/>
        </w:rPr>
        <w:t xml:space="preserve">                             </w:t>
      </w:r>
      <w:r w:rsidRPr="005D41AF">
        <w:rPr>
          <w:rFonts w:ascii="Arial" w:hAnsi="Arial" w:cs="Arial"/>
          <w:b/>
          <w:bCs/>
          <w:u w:color="0000FF"/>
        </w:rPr>
        <w:t xml:space="preserve">PROJEÇÃO DA RENÚNCIA DE RECEITA TRIBUTÁRIA – </w:t>
      </w:r>
      <w:smartTag w:uri="urn:schemas-microsoft-com:office:smarttags" w:element="metricconverter">
        <w:smartTagPr>
          <w:attr w:name="ProductID" w:val="2014 A"/>
        </w:smartTagPr>
        <w:r w:rsidRPr="005D41AF">
          <w:rPr>
            <w:rFonts w:ascii="Arial" w:hAnsi="Arial" w:cs="Arial"/>
            <w:b/>
            <w:bCs/>
            <w:u w:color="0000FF"/>
          </w:rPr>
          <w:t>201</w:t>
        </w:r>
        <w:r>
          <w:rPr>
            <w:rFonts w:ascii="Arial" w:hAnsi="Arial" w:cs="Arial"/>
            <w:b/>
            <w:bCs/>
            <w:u w:color="0000FF"/>
          </w:rPr>
          <w:t>4</w:t>
        </w:r>
        <w:r w:rsidRPr="005D41AF">
          <w:rPr>
            <w:rFonts w:ascii="Arial" w:hAnsi="Arial" w:cs="Arial"/>
            <w:b/>
            <w:bCs/>
            <w:u w:color="0000FF"/>
          </w:rPr>
          <w:t xml:space="preserve"> a</w:t>
        </w:r>
      </w:smartTag>
      <w:r w:rsidRPr="005D41AF">
        <w:rPr>
          <w:rFonts w:ascii="Arial" w:hAnsi="Arial" w:cs="Arial"/>
          <w:b/>
          <w:bCs/>
          <w:u w:color="0000FF"/>
        </w:rPr>
        <w:t xml:space="preserve"> 201</w:t>
      </w:r>
      <w:r>
        <w:rPr>
          <w:rFonts w:ascii="Arial" w:hAnsi="Arial" w:cs="Arial"/>
          <w:b/>
          <w:bCs/>
          <w:u w:color="0000FF"/>
        </w:rPr>
        <w:t>6</w:t>
      </w:r>
    </w:p>
    <w:p w:rsidR="00DC777E" w:rsidRPr="00D778C7" w:rsidRDefault="00DC777E" w:rsidP="00DC777E">
      <w:pPr>
        <w:pStyle w:val="Recuodecorpodetexto"/>
        <w:ind w:right="-427"/>
        <w:rPr>
          <w:sz w:val="20"/>
          <w:highlight w:val="red"/>
          <w:u w:color="0000FF"/>
        </w:rPr>
      </w:pPr>
    </w:p>
    <w:p w:rsidR="00DC777E" w:rsidRPr="005D41AF" w:rsidRDefault="00DC777E" w:rsidP="00DC777E">
      <w:pPr>
        <w:pStyle w:val="Recuodecorpodetexto"/>
        <w:ind w:left="5041" w:right="-425" w:firstLine="0"/>
        <w:jc w:val="left"/>
        <w:rPr>
          <w:sz w:val="20"/>
          <w:u w:color="0000FF"/>
        </w:rPr>
      </w:pPr>
      <w:r w:rsidRPr="005D41AF">
        <w:rPr>
          <w:sz w:val="20"/>
          <w:u w:color="0000FF"/>
        </w:rPr>
        <w:t xml:space="preserve">            Valores correntes em R$ 1,00</w:t>
      </w:r>
    </w:p>
    <w:tbl>
      <w:tblPr>
        <w:tblW w:w="7041" w:type="dxa"/>
        <w:tblInd w:w="1510" w:type="dxa"/>
        <w:tblCellMar>
          <w:left w:w="70" w:type="dxa"/>
          <w:right w:w="70" w:type="dxa"/>
        </w:tblCellMar>
        <w:tblLook w:val="0000"/>
      </w:tblPr>
      <w:tblGrid>
        <w:gridCol w:w="1443"/>
        <w:gridCol w:w="1866"/>
        <w:gridCol w:w="1866"/>
        <w:gridCol w:w="1866"/>
      </w:tblGrid>
      <w:tr w:rsidR="00DC777E" w:rsidTr="00C87517">
        <w:trPr>
          <w:trHeight w:val="255"/>
        </w:trPr>
        <w:tc>
          <w:tcPr>
            <w:tcW w:w="704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DC777E" w:rsidRDefault="00DC777E" w:rsidP="00C87517">
            <w:pPr>
              <w:jc w:val="center"/>
              <w:rPr>
                <w:rFonts w:ascii="Arial" w:hAnsi="Arial" w:cs="Arial"/>
                <w:b/>
                <w:bCs/>
                <w:sz w:val="20"/>
                <w:szCs w:val="20"/>
              </w:rPr>
            </w:pPr>
            <w:r>
              <w:rPr>
                <w:rFonts w:ascii="Arial" w:hAnsi="Arial" w:cs="Arial"/>
                <w:b/>
                <w:bCs/>
                <w:sz w:val="20"/>
                <w:szCs w:val="20"/>
              </w:rPr>
              <w:t>CONSOLIDADO</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DC777E" w:rsidRDefault="00DC777E" w:rsidP="00C87517">
            <w:pPr>
              <w:jc w:val="center"/>
              <w:rPr>
                <w:rFonts w:ascii="Arial" w:hAnsi="Arial" w:cs="Arial"/>
                <w:b/>
                <w:bCs/>
                <w:sz w:val="20"/>
                <w:szCs w:val="20"/>
              </w:rPr>
            </w:pPr>
            <w:r>
              <w:rPr>
                <w:rFonts w:ascii="Arial" w:hAnsi="Arial" w:cs="Arial"/>
                <w:b/>
                <w:bCs/>
                <w:sz w:val="20"/>
                <w:szCs w:val="20"/>
              </w:rPr>
              <w:t>TRIBUTO</w:t>
            </w:r>
          </w:p>
        </w:tc>
        <w:tc>
          <w:tcPr>
            <w:tcW w:w="1866" w:type="dxa"/>
            <w:tcBorders>
              <w:top w:val="nil"/>
              <w:left w:val="nil"/>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b/>
                <w:bCs/>
                <w:sz w:val="20"/>
                <w:szCs w:val="20"/>
              </w:rPr>
            </w:pPr>
            <w:r>
              <w:rPr>
                <w:rFonts w:ascii="Arial" w:hAnsi="Arial" w:cs="Arial"/>
                <w:b/>
                <w:bCs/>
                <w:sz w:val="20"/>
                <w:szCs w:val="20"/>
              </w:rPr>
              <w:t>2014</w:t>
            </w:r>
          </w:p>
        </w:tc>
        <w:tc>
          <w:tcPr>
            <w:tcW w:w="1866" w:type="dxa"/>
            <w:tcBorders>
              <w:top w:val="nil"/>
              <w:left w:val="nil"/>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b/>
                <w:bCs/>
                <w:sz w:val="20"/>
                <w:szCs w:val="20"/>
              </w:rPr>
            </w:pPr>
            <w:r>
              <w:rPr>
                <w:rFonts w:ascii="Arial" w:hAnsi="Arial" w:cs="Arial"/>
                <w:b/>
                <w:bCs/>
                <w:sz w:val="20"/>
                <w:szCs w:val="20"/>
              </w:rPr>
              <w:t>2015</w:t>
            </w:r>
          </w:p>
        </w:tc>
        <w:tc>
          <w:tcPr>
            <w:tcW w:w="1866" w:type="dxa"/>
            <w:tcBorders>
              <w:top w:val="nil"/>
              <w:left w:val="nil"/>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b/>
                <w:bCs/>
                <w:sz w:val="20"/>
                <w:szCs w:val="20"/>
              </w:rPr>
            </w:pPr>
            <w:r>
              <w:rPr>
                <w:rFonts w:ascii="Arial" w:hAnsi="Arial" w:cs="Arial"/>
                <w:b/>
                <w:bCs/>
                <w:sz w:val="20"/>
                <w:szCs w:val="20"/>
              </w:rPr>
              <w:t>2016</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ICMS</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2.124.795.844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1.956.599.452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1.714.098.507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ISS</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44.343.470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37.187.656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38.977.967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IPVA</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24.070.691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25.288.772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26.506.240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IPTU</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78.093.584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70.130.930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73.507.216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ITBI</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123.671.521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60.573.454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63.489.618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ITCD</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32.675.513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12.167.570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12.753.349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TLP</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10.036.419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9.946.834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10.425.701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Multas e juros</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24.355.444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15.460.034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8.646.882 </w:t>
            </w:r>
          </w:p>
        </w:tc>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center"/>
          </w:tcPr>
          <w:p w:rsidR="00DC777E" w:rsidRDefault="00DC777E" w:rsidP="00C87517">
            <w:pPr>
              <w:jc w:val="center"/>
              <w:rPr>
                <w:rFonts w:ascii="Arial" w:hAnsi="Arial" w:cs="Arial"/>
                <w:sz w:val="20"/>
                <w:szCs w:val="20"/>
              </w:rPr>
            </w:pPr>
            <w:r>
              <w:rPr>
                <w:rFonts w:ascii="Arial" w:hAnsi="Arial" w:cs="Arial"/>
                <w:sz w:val="20"/>
                <w:szCs w:val="20"/>
              </w:rPr>
              <w:t>Dívida Ativa</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10.568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sz w:val="20"/>
                <w:szCs w:val="20"/>
              </w:rPr>
            </w:pPr>
            <w:proofErr w:type="gramEnd"/>
            <w:r>
              <w:rPr>
                <w:rFonts w:ascii="Arial" w:hAnsi="Arial" w:cs="Arial"/>
                <w:sz w:val="20"/>
                <w:szCs w:val="20"/>
              </w:rPr>
              <w:t xml:space="preserve">                        -</w:t>
            </w:r>
            <w:proofErr w:type="gramStart"/>
            <w:r>
              <w:rPr>
                <w:rFonts w:ascii="Arial" w:hAnsi="Arial" w:cs="Arial"/>
                <w:sz w:val="20"/>
                <w:szCs w:val="20"/>
              </w:rPr>
              <w:t xml:space="preserve">   </w:t>
            </w:r>
          </w:p>
        </w:tc>
        <w:proofErr w:type="gramEnd"/>
      </w:tr>
      <w:tr w:rsidR="00DC777E" w:rsidTr="00C87517">
        <w:trPr>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DC777E" w:rsidRDefault="00DC777E" w:rsidP="00C87517">
            <w:pPr>
              <w:jc w:val="center"/>
              <w:rPr>
                <w:rFonts w:ascii="Arial" w:hAnsi="Arial" w:cs="Arial"/>
                <w:b/>
                <w:bCs/>
                <w:sz w:val="20"/>
                <w:szCs w:val="20"/>
              </w:rPr>
            </w:pPr>
            <w:r>
              <w:rPr>
                <w:rFonts w:ascii="Arial" w:hAnsi="Arial" w:cs="Arial"/>
                <w:b/>
                <w:bCs/>
                <w:sz w:val="20"/>
                <w:szCs w:val="20"/>
              </w:rPr>
              <w:t>TOTAL</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b/>
                <w:bCs/>
                <w:sz w:val="20"/>
                <w:szCs w:val="20"/>
              </w:rPr>
            </w:pPr>
            <w:r>
              <w:rPr>
                <w:rFonts w:ascii="Arial" w:hAnsi="Arial" w:cs="Arial"/>
                <w:b/>
                <w:bCs/>
                <w:sz w:val="20"/>
                <w:szCs w:val="20"/>
              </w:rPr>
              <w:t xml:space="preserve">      2.462.053.055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b/>
                <w:bCs/>
                <w:sz w:val="20"/>
                <w:szCs w:val="20"/>
              </w:rPr>
            </w:pPr>
            <w:r>
              <w:rPr>
                <w:rFonts w:ascii="Arial" w:hAnsi="Arial" w:cs="Arial"/>
                <w:b/>
                <w:bCs/>
                <w:sz w:val="20"/>
                <w:szCs w:val="20"/>
              </w:rPr>
              <w:t xml:space="preserve">      2.187.354.703 </w:t>
            </w:r>
          </w:p>
        </w:tc>
        <w:tc>
          <w:tcPr>
            <w:tcW w:w="1866" w:type="dxa"/>
            <w:tcBorders>
              <w:top w:val="nil"/>
              <w:left w:val="nil"/>
              <w:bottom w:val="single" w:sz="4" w:space="0" w:color="auto"/>
              <w:right w:val="single" w:sz="4" w:space="0" w:color="auto"/>
            </w:tcBorders>
            <w:shd w:val="clear" w:color="auto" w:fill="auto"/>
            <w:noWrap/>
            <w:vAlign w:val="bottom"/>
          </w:tcPr>
          <w:p w:rsidR="00DC777E" w:rsidRDefault="00DC777E" w:rsidP="00C87517">
            <w:pPr>
              <w:rPr>
                <w:rFonts w:ascii="Arial" w:hAnsi="Arial" w:cs="Arial"/>
                <w:b/>
                <w:bCs/>
                <w:sz w:val="20"/>
                <w:szCs w:val="20"/>
              </w:rPr>
            </w:pPr>
            <w:r>
              <w:rPr>
                <w:rFonts w:ascii="Arial" w:hAnsi="Arial" w:cs="Arial"/>
                <w:b/>
                <w:bCs/>
                <w:sz w:val="20"/>
                <w:szCs w:val="20"/>
              </w:rPr>
              <w:t xml:space="preserve">      1.948.405.480 </w:t>
            </w:r>
          </w:p>
        </w:tc>
      </w:tr>
    </w:tbl>
    <w:p w:rsidR="00DC777E" w:rsidRDefault="00DC777E" w:rsidP="00DC777E">
      <w:pPr>
        <w:pStyle w:val="Recuodecorpodetexto2"/>
        <w:spacing w:after="240"/>
        <w:ind w:left="720" w:right="-476"/>
        <w:rPr>
          <w:rFonts w:ascii="Arial" w:hAnsi="Arial" w:cs="Arial"/>
          <w:szCs w:val="22"/>
          <w:u w:color="0000FF"/>
        </w:rPr>
      </w:pPr>
    </w:p>
    <w:p w:rsidR="00E10C94" w:rsidRDefault="00E10C94" w:rsidP="00E10C94">
      <w:pPr>
        <w:pStyle w:val="Recuodecorpodetexto2"/>
        <w:ind w:right="-476"/>
        <w:rPr>
          <w:rFonts w:ascii="Arial" w:hAnsi="Arial"/>
          <w:u w:color="0000FF"/>
        </w:rPr>
      </w:pPr>
    </w:p>
    <w:sectPr w:rsidR="00E10C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17" w:rsidRDefault="00C87517">
      <w:r>
        <w:separator/>
      </w:r>
    </w:p>
  </w:endnote>
  <w:endnote w:type="continuationSeparator" w:id="0">
    <w:p w:rsidR="00C87517" w:rsidRDefault="00C87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17" w:rsidRDefault="00C87517">
      <w:r>
        <w:separator/>
      </w:r>
    </w:p>
  </w:footnote>
  <w:footnote w:type="continuationSeparator" w:id="0">
    <w:p w:rsidR="00C87517" w:rsidRDefault="00C87517">
      <w:r>
        <w:continuationSeparator/>
      </w:r>
    </w:p>
  </w:footnote>
  <w:footnote w:id="1">
    <w:p w:rsidR="00DC777E" w:rsidRDefault="00DC777E" w:rsidP="00DC777E">
      <w:pPr>
        <w:pStyle w:val="Recuodecorpodetexto2"/>
        <w:ind w:right="-476" w:firstLine="0"/>
        <w:rPr>
          <w:rFonts w:ascii="Arial" w:hAnsi="Arial"/>
          <w:b/>
          <w:bCs/>
          <w:sz w:val="20"/>
          <w:u w:color="0000FF"/>
        </w:rPr>
      </w:pPr>
      <w:r>
        <w:rPr>
          <w:rStyle w:val="Refdenotaderodap"/>
          <w:sz w:val="20"/>
        </w:rPr>
        <w:footnoteRef/>
      </w:r>
      <w:r>
        <w:rPr>
          <w:rFonts w:ascii="Arial" w:hAnsi="Arial"/>
          <w:sz w:val="20"/>
        </w:rPr>
        <w:t xml:space="preserve"> Conforme Relatório Focus do dia 22/03/2013, disponível em &lt;</w:t>
      </w:r>
      <w:proofErr w:type="gramStart"/>
      <w:r w:rsidRPr="00623681">
        <w:rPr>
          <w:rFonts w:ascii="Arial" w:hAnsi="Arial"/>
          <w:sz w:val="20"/>
        </w:rPr>
        <w:t>https</w:t>
      </w:r>
      <w:proofErr w:type="gramEnd"/>
      <w:r w:rsidRPr="00623681">
        <w:rPr>
          <w:rFonts w:ascii="Arial" w:hAnsi="Arial"/>
          <w:sz w:val="20"/>
        </w:rPr>
        <w:t>://www3.bcb.gov.br/expectativas/publico</w:t>
      </w:r>
      <w:r>
        <w:rPr>
          <w:rFonts w:ascii="Arial" w:hAnsi="Arial"/>
          <w:sz w:val="20"/>
        </w:rPr>
        <w:t>&gt;, os percentuais considerados foram</w:t>
      </w:r>
      <w:r>
        <w:rPr>
          <w:rFonts w:ascii="Arial" w:hAnsi="Arial"/>
          <w:b/>
          <w:bCs/>
          <w:sz w:val="20"/>
        </w:rPr>
        <w:t>: 5,70% para 2013, 5,21% para 2014, 5,02% para 2015 e 5,04% para 2016.</w:t>
      </w:r>
    </w:p>
    <w:p w:rsidR="00DC777E" w:rsidRDefault="00DC777E" w:rsidP="00DC777E">
      <w:pPr>
        <w:pStyle w:val="Recuodecorpodetexto2"/>
        <w:ind w:right="-476"/>
        <w:rPr>
          <w:rFonts w:ascii="Arial" w:hAnsi="Arial"/>
          <w:u w:color="0000FF"/>
        </w:rPr>
      </w:pPr>
    </w:p>
    <w:p w:rsidR="00DC777E" w:rsidRDefault="00DC777E" w:rsidP="00DC777E">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0B5"/>
    <w:multiLevelType w:val="hybridMultilevel"/>
    <w:tmpl w:val="259E63EE"/>
    <w:lvl w:ilvl="0" w:tplc="0416000F">
      <w:start w:val="1"/>
      <w:numFmt w:val="decimal"/>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972D0C"/>
    <w:rsid w:val="00064226"/>
    <w:rsid w:val="00076F16"/>
    <w:rsid w:val="00345894"/>
    <w:rsid w:val="00361D79"/>
    <w:rsid w:val="003812A8"/>
    <w:rsid w:val="0048075B"/>
    <w:rsid w:val="005237DA"/>
    <w:rsid w:val="00540A94"/>
    <w:rsid w:val="00544CE4"/>
    <w:rsid w:val="0057460A"/>
    <w:rsid w:val="005B1B36"/>
    <w:rsid w:val="005F33D3"/>
    <w:rsid w:val="005F4792"/>
    <w:rsid w:val="006F61E8"/>
    <w:rsid w:val="008812F7"/>
    <w:rsid w:val="009306AF"/>
    <w:rsid w:val="00972D0C"/>
    <w:rsid w:val="00B25060"/>
    <w:rsid w:val="00B344EE"/>
    <w:rsid w:val="00BB58E9"/>
    <w:rsid w:val="00BD5423"/>
    <w:rsid w:val="00BE7C4F"/>
    <w:rsid w:val="00C5011A"/>
    <w:rsid w:val="00C87517"/>
    <w:rsid w:val="00DC5341"/>
    <w:rsid w:val="00DC777E"/>
    <w:rsid w:val="00E10C94"/>
    <w:rsid w:val="00F13A6B"/>
    <w:rsid w:val="00F248B2"/>
    <w:rsid w:val="00F55934"/>
    <w:rsid w:val="00F7045C"/>
    <w:rsid w:val="00F7585A"/>
    <w:rsid w:val="00FB0C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after="240"/>
      <w:ind w:firstLine="720"/>
      <w:jc w:val="center"/>
      <w:outlineLvl w:val="0"/>
    </w:pPr>
    <w:rPr>
      <w:rFonts w:ascii="Arial" w:hAnsi="Arial"/>
      <w:b/>
      <w:szCs w:val="20"/>
    </w:rPr>
  </w:style>
  <w:style w:type="paragraph" w:styleId="Ttulo2">
    <w:name w:val="heading 2"/>
    <w:basedOn w:val="Normal"/>
    <w:next w:val="Normal"/>
    <w:qFormat/>
    <w:pPr>
      <w:keepNext/>
      <w:jc w:val="center"/>
      <w:outlineLvl w:val="1"/>
    </w:pPr>
    <w:rPr>
      <w:rFonts w:ascii="Arial" w:hAnsi="Arial" w:cs="Arial"/>
      <w:b/>
      <w:bCs/>
      <w:sz w:val="22"/>
      <w:u w:color="0000FF"/>
    </w:rPr>
  </w:style>
  <w:style w:type="paragraph" w:styleId="Ttulo4">
    <w:name w:val="heading 4"/>
    <w:basedOn w:val="Normal"/>
    <w:next w:val="Normal"/>
    <w:qFormat/>
    <w:pPr>
      <w:keepNext/>
      <w:jc w:val="center"/>
      <w:outlineLvl w:val="3"/>
    </w:pPr>
    <w:rPr>
      <w:rFonts w:ascii="Arial" w:hAnsi="Arial"/>
      <w:b/>
      <w:szCs w:val="20"/>
    </w:rPr>
  </w:style>
  <w:style w:type="paragraph" w:styleId="Ttulo5">
    <w:name w:val="heading 5"/>
    <w:basedOn w:val="Normal"/>
    <w:next w:val="Normal"/>
    <w:qFormat/>
    <w:pPr>
      <w:keepNext/>
      <w:jc w:val="center"/>
      <w:outlineLvl w:val="4"/>
    </w:pPr>
    <w:rPr>
      <w:rFonts w:ascii="Arial" w:hAnsi="Arial"/>
      <w:b/>
      <w:sz w:val="36"/>
      <w:szCs w:val="20"/>
    </w:rPr>
  </w:style>
  <w:style w:type="paragraph" w:styleId="Ttulo9">
    <w:name w:val="heading 9"/>
    <w:basedOn w:val="Normal"/>
    <w:next w:val="Normal"/>
    <w:qFormat/>
    <w:pPr>
      <w:keepNext/>
      <w:ind w:right="-476"/>
      <w:jc w:val="center"/>
      <w:outlineLvl w:val="8"/>
    </w:pPr>
    <w:rPr>
      <w:rFonts w:ascii="Arial" w:hAnsi="Arial"/>
      <w:b/>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semiHidden/>
    <w:pPr>
      <w:tabs>
        <w:tab w:val="center" w:pos="4320"/>
        <w:tab w:val="right" w:pos="8640"/>
      </w:tabs>
    </w:pPr>
    <w:rPr>
      <w:sz w:val="20"/>
      <w:szCs w:val="20"/>
    </w:rPr>
  </w:style>
  <w:style w:type="paragraph" w:styleId="Textodenotaderodap">
    <w:name w:val="footnote text"/>
    <w:basedOn w:val="Normal"/>
    <w:semiHidden/>
    <w:rPr>
      <w:sz w:val="20"/>
      <w:szCs w:val="20"/>
    </w:rPr>
  </w:style>
  <w:style w:type="character" w:styleId="Refdenotaderodap">
    <w:name w:val="footnote reference"/>
    <w:basedOn w:val="Fontepargpadro"/>
    <w:semiHidden/>
    <w:rPr>
      <w:vertAlign w:val="superscript"/>
    </w:rPr>
  </w:style>
  <w:style w:type="paragraph" w:styleId="Recuodecorpodetexto2">
    <w:name w:val="Body Text Indent 2"/>
    <w:basedOn w:val="Normal"/>
    <w:pPr>
      <w:ind w:firstLine="720"/>
      <w:jc w:val="both"/>
    </w:pPr>
    <w:rPr>
      <w:sz w:val="22"/>
      <w:szCs w:val="20"/>
    </w:rPr>
  </w:style>
  <w:style w:type="character" w:styleId="Hyperlink">
    <w:name w:val="Hyperlink"/>
    <w:basedOn w:val="Fontepargpadro"/>
    <w:semiHidden/>
    <w:rPr>
      <w:color w:val="0000FF"/>
      <w:u w:val="single"/>
    </w:rPr>
  </w:style>
  <w:style w:type="paragraph" w:styleId="Recuodecorpodetexto">
    <w:name w:val="Body Text Indent"/>
    <w:basedOn w:val="Normal"/>
    <w:pPr>
      <w:ind w:firstLine="720"/>
      <w:jc w:val="center"/>
    </w:pPr>
    <w:rPr>
      <w:rFonts w:ascii="Arial" w:hAnsi="Arial"/>
      <w:b/>
      <w:szCs w:val="20"/>
    </w:rPr>
  </w:style>
  <w:style w:type="paragraph" w:styleId="Recuodecorpodetexto3">
    <w:name w:val="Body Text Indent 3"/>
    <w:basedOn w:val="Normal"/>
    <w:semiHidden/>
    <w:pPr>
      <w:ind w:right="-476" w:firstLine="709"/>
      <w:jc w:val="both"/>
    </w:pPr>
    <w:rPr>
      <w:rFonts w:ascii="Arial" w:hAnsi="Arial" w:cs="Arial"/>
      <w:szCs w:val="20"/>
    </w:rPr>
  </w:style>
  <w:style w:type="character" w:styleId="HiperlinkVisitado">
    <w:name w:val="FollowedHyperlink"/>
    <w:basedOn w:val="Fontepargpadro"/>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lpstr>
    </vt:vector>
  </TitlesOfParts>
  <Company>SEFAZ-DF</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rdcarvalho</dc:creator>
  <cp:lastModifiedBy>marcelo.cadete</cp:lastModifiedBy>
  <cp:revision>2</cp:revision>
  <cp:lastPrinted>2012-05-12T21:28:00Z</cp:lastPrinted>
  <dcterms:created xsi:type="dcterms:W3CDTF">2013-05-16T13:43:00Z</dcterms:created>
  <dcterms:modified xsi:type="dcterms:W3CDTF">2013-05-16T13:43:00Z</dcterms:modified>
</cp:coreProperties>
</file>