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65" w:rsidRDefault="00352E65" w:rsidP="00944E2A">
      <w:pPr>
        <w:pStyle w:val="Ttulo6"/>
        <w:ind w:left="0" w:right="0"/>
        <w:jc w:val="center"/>
        <w:rPr>
          <w:b/>
          <w:bCs/>
          <w:color w:val="000000"/>
          <w:szCs w:val="24"/>
        </w:rPr>
      </w:pPr>
    </w:p>
    <w:p w:rsidR="00837AEC" w:rsidRPr="00837AEC" w:rsidRDefault="00837AEC" w:rsidP="00837AEC"/>
    <w:p w:rsidR="00277AAE" w:rsidRDefault="00277AAE" w:rsidP="00944E2A">
      <w:pPr>
        <w:pStyle w:val="Ttulo6"/>
        <w:ind w:left="0" w:right="0"/>
        <w:jc w:val="center"/>
        <w:rPr>
          <w:b/>
          <w:bCs/>
          <w:color w:val="000000"/>
          <w:szCs w:val="24"/>
        </w:rPr>
      </w:pPr>
    </w:p>
    <w:p w:rsidR="00BB0FD0" w:rsidRDefault="00BB0FD0" w:rsidP="00944E2A">
      <w:pPr>
        <w:pStyle w:val="Ttulo6"/>
        <w:ind w:left="0" w:right="0"/>
        <w:jc w:val="center"/>
        <w:rPr>
          <w:b/>
          <w:bCs/>
          <w:color w:val="000000"/>
          <w:szCs w:val="24"/>
        </w:rPr>
      </w:pPr>
      <w:r w:rsidRPr="0004492D">
        <w:rPr>
          <w:b/>
          <w:bCs/>
          <w:color w:val="000000"/>
          <w:szCs w:val="24"/>
        </w:rPr>
        <w:t>ANEXO DE RISCOS FISCAIS</w:t>
      </w:r>
    </w:p>
    <w:p w:rsidR="00944E2A" w:rsidRPr="00944E2A" w:rsidRDefault="00944E2A" w:rsidP="00944E2A"/>
    <w:p w:rsidR="00BB0FD0" w:rsidRPr="0004492D" w:rsidRDefault="00BB0FD0" w:rsidP="00944E2A">
      <w:pPr>
        <w:pStyle w:val="Ttulo6"/>
        <w:ind w:left="0" w:right="0"/>
        <w:jc w:val="center"/>
        <w:rPr>
          <w:b/>
          <w:bCs/>
          <w:szCs w:val="24"/>
        </w:rPr>
      </w:pPr>
      <w:r w:rsidRPr="0004492D">
        <w:rPr>
          <w:b/>
          <w:bCs/>
          <w:color w:val="000000"/>
          <w:szCs w:val="24"/>
        </w:rPr>
        <w:t xml:space="preserve">LEI DE DIRETRIZES ORÇAMENTÁRIAS </w:t>
      </w:r>
      <w:r w:rsidRPr="0004492D">
        <w:rPr>
          <w:b/>
          <w:bCs/>
          <w:szCs w:val="24"/>
        </w:rPr>
        <w:t>– 20</w:t>
      </w:r>
      <w:r w:rsidR="00045DB9" w:rsidRPr="0004492D">
        <w:rPr>
          <w:b/>
          <w:bCs/>
          <w:szCs w:val="24"/>
        </w:rPr>
        <w:t>1</w:t>
      </w:r>
      <w:r w:rsidR="00E71D70">
        <w:rPr>
          <w:b/>
          <w:bCs/>
          <w:szCs w:val="24"/>
        </w:rPr>
        <w:t>4</w:t>
      </w:r>
    </w:p>
    <w:p w:rsidR="00BB0FD0" w:rsidRPr="0004492D" w:rsidRDefault="00BB0FD0" w:rsidP="00944E2A">
      <w:pPr>
        <w:pStyle w:val="Ttulo6"/>
        <w:ind w:left="0" w:right="0"/>
        <w:jc w:val="center"/>
        <w:rPr>
          <w:szCs w:val="24"/>
        </w:rPr>
      </w:pPr>
      <w:r w:rsidRPr="0004492D">
        <w:rPr>
          <w:color w:val="000000"/>
          <w:szCs w:val="24"/>
        </w:rPr>
        <w:t>(Art. 4º, § 3º, da Lei Complementar nº 101, de 2000</w:t>
      </w:r>
      <w:proofErr w:type="gramStart"/>
      <w:r w:rsidRPr="0004492D">
        <w:rPr>
          <w:color w:val="000000"/>
          <w:szCs w:val="24"/>
        </w:rPr>
        <w:t>)</w:t>
      </w:r>
      <w:proofErr w:type="gramEnd"/>
    </w:p>
    <w:p w:rsidR="00855649" w:rsidRPr="0004492D" w:rsidRDefault="00855649" w:rsidP="00944E2A">
      <w:pPr>
        <w:rPr>
          <w:sz w:val="24"/>
          <w:szCs w:val="24"/>
        </w:rPr>
      </w:pPr>
    </w:p>
    <w:p w:rsidR="00855649" w:rsidRPr="00611A3C" w:rsidRDefault="00855649" w:rsidP="00793746">
      <w:pPr>
        <w:numPr>
          <w:ilvl w:val="0"/>
          <w:numId w:val="12"/>
        </w:numPr>
        <w:spacing w:before="240" w:after="240" w:line="360" w:lineRule="auto"/>
        <w:rPr>
          <w:b/>
          <w:sz w:val="24"/>
          <w:szCs w:val="24"/>
        </w:rPr>
      </w:pPr>
      <w:r w:rsidRPr="0004492D">
        <w:rPr>
          <w:b/>
          <w:sz w:val="24"/>
          <w:szCs w:val="24"/>
        </w:rPr>
        <w:t>INTRODUÇÃO</w:t>
      </w:r>
    </w:p>
    <w:p w:rsidR="00BB0FD0" w:rsidRPr="0004492D" w:rsidRDefault="00D50BE1" w:rsidP="00611A3C">
      <w:pPr>
        <w:spacing w:before="120" w:after="120" w:line="360" w:lineRule="auto"/>
        <w:ind w:firstLine="1416"/>
        <w:jc w:val="both"/>
        <w:rPr>
          <w:sz w:val="24"/>
          <w:szCs w:val="24"/>
        </w:rPr>
      </w:pPr>
      <w:r>
        <w:rPr>
          <w:sz w:val="24"/>
          <w:szCs w:val="24"/>
        </w:rPr>
        <w:t>Uma gestão fiscal responsável pressupõe ações planejadas e transpar</w:t>
      </w:r>
      <w:r w:rsidR="00944E2A">
        <w:rPr>
          <w:sz w:val="24"/>
          <w:szCs w:val="24"/>
        </w:rPr>
        <w:t>ente</w:t>
      </w:r>
      <w:r w:rsidR="006F0BBD">
        <w:rPr>
          <w:sz w:val="24"/>
          <w:szCs w:val="24"/>
        </w:rPr>
        <w:t>s</w:t>
      </w:r>
      <w:r>
        <w:rPr>
          <w:sz w:val="24"/>
          <w:szCs w:val="24"/>
        </w:rPr>
        <w:t xml:space="preserve"> na execução</w:t>
      </w:r>
      <w:r w:rsidR="00944E2A">
        <w:rPr>
          <w:sz w:val="24"/>
          <w:szCs w:val="24"/>
        </w:rPr>
        <w:t xml:space="preserve"> da receita e despesa pública</w:t>
      </w:r>
      <w:r>
        <w:rPr>
          <w:sz w:val="24"/>
          <w:szCs w:val="24"/>
        </w:rPr>
        <w:t xml:space="preserve">, prevenindo riscos e corrigindo </w:t>
      </w:r>
      <w:r w:rsidR="007B0223">
        <w:rPr>
          <w:sz w:val="24"/>
          <w:szCs w:val="24"/>
        </w:rPr>
        <w:t>desvios</w:t>
      </w:r>
      <w:r>
        <w:rPr>
          <w:sz w:val="24"/>
          <w:szCs w:val="24"/>
        </w:rPr>
        <w:t xml:space="preserve"> capazes de afetar o equilíbrio das contas públicas. </w:t>
      </w:r>
      <w:r w:rsidR="007D0C5D">
        <w:rPr>
          <w:sz w:val="24"/>
          <w:szCs w:val="24"/>
        </w:rPr>
        <w:t>Desta forma, e</w:t>
      </w:r>
      <w:r w:rsidR="00352117" w:rsidRPr="0004492D">
        <w:rPr>
          <w:sz w:val="24"/>
          <w:szCs w:val="24"/>
        </w:rPr>
        <w:t xml:space="preserve">m cumprimento ao estabelecido </w:t>
      </w:r>
      <w:r w:rsidR="00BB0FD0" w:rsidRPr="0004492D">
        <w:rPr>
          <w:sz w:val="24"/>
          <w:szCs w:val="24"/>
        </w:rPr>
        <w:t xml:space="preserve">no </w:t>
      </w:r>
      <w:r w:rsidR="00352117" w:rsidRPr="0004492D">
        <w:rPr>
          <w:sz w:val="24"/>
          <w:szCs w:val="24"/>
        </w:rPr>
        <w:t>a</w:t>
      </w:r>
      <w:r w:rsidR="00BB0FD0" w:rsidRPr="0004492D">
        <w:rPr>
          <w:sz w:val="24"/>
          <w:szCs w:val="24"/>
        </w:rPr>
        <w:t xml:space="preserve">rt. 4º, § 3º, da Lei Complementar nº 101, de </w:t>
      </w:r>
      <w:proofErr w:type="gramStart"/>
      <w:smartTag w:uri="urn:schemas-microsoft-com:office:smarttags" w:element="date">
        <w:smartTagPr>
          <w:attr w:name="ls" w:val="trans"/>
          <w:attr w:name="Month" w:val="5"/>
          <w:attr w:name="Day" w:val="4"/>
          <w:attr w:name="Year" w:val="2000"/>
        </w:smartTagPr>
        <w:r w:rsidR="00BB0FD0" w:rsidRPr="0004492D">
          <w:rPr>
            <w:sz w:val="24"/>
            <w:szCs w:val="24"/>
          </w:rPr>
          <w:t>4</w:t>
        </w:r>
        <w:proofErr w:type="gramEnd"/>
        <w:r w:rsidR="00BB0FD0" w:rsidRPr="0004492D">
          <w:rPr>
            <w:sz w:val="24"/>
            <w:szCs w:val="24"/>
          </w:rPr>
          <w:t xml:space="preserve"> de maio de 2000</w:t>
        </w:r>
      </w:smartTag>
      <w:r w:rsidR="00BB0FD0" w:rsidRPr="0004492D">
        <w:rPr>
          <w:sz w:val="24"/>
          <w:szCs w:val="24"/>
        </w:rPr>
        <w:t xml:space="preserve">, </w:t>
      </w:r>
      <w:r w:rsidR="00352117" w:rsidRPr="0004492D">
        <w:rPr>
          <w:sz w:val="24"/>
          <w:szCs w:val="24"/>
        </w:rPr>
        <w:t xml:space="preserve">Lei de Responsabilidade Fiscal, </w:t>
      </w:r>
      <w:r w:rsidR="00141D04" w:rsidRPr="0004492D">
        <w:rPr>
          <w:sz w:val="24"/>
          <w:szCs w:val="24"/>
        </w:rPr>
        <w:t>elabor</w:t>
      </w:r>
      <w:r w:rsidR="007D0C5D">
        <w:rPr>
          <w:sz w:val="24"/>
          <w:szCs w:val="24"/>
        </w:rPr>
        <w:t>a</w:t>
      </w:r>
      <w:r w:rsidR="00141D04" w:rsidRPr="0004492D">
        <w:rPr>
          <w:sz w:val="24"/>
          <w:szCs w:val="24"/>
        </w:rPr>
        <w:t xml:space="preserve">-se </w:t>
      </w:r>
      <w:r w:rsidR="00BB0FD0" w:rsidRPr="0004492D">
        <w:rPr>
          <w:sz w:val="24"/>
          <w:szCs w:val="24"/>
        </w:rPr>
        <w:t xml:space="preserve">o Anexo </w:t>
      </w:r>
      <w:proofErr w:type="gramStart"/>
      <w:r w:rsidR="00BB0FD0" w:rsidRPr="0004492D">
        <w:rPr>
          <w:sz w:val="24"/>
          <w:szCs w:val="24"/>
        </w:rPr>
        <w:t>de</w:t>
      </w:r>
      <w:proofErr w:type="gramEnd"/>
      <w:r w:rsidR="00BB0FD0" w:rsidRPr="0004492D">
        <w:rPr>
          <w:sz w:val="24"/>
          <w:szCs w:val="24"/>
        </w:rPr>
        <w:t xml:space="preserve"> Riscos Fiscais, contendo </w:t>
      </w:r>
      <w:r w:rsidR="00141D04" w:rsidRPr="0004492D">
        <w:rPr>
          <w:sz w:val="24"/>
          <w:szCs w:val="24"/>
        </w:rPr>
        <w:t xml:space="preserve">a </w:t>
      </w:r>
      <w:r w:rsidR="00BB0FD0" w:rsidRPr="0004492D">
        <w:rPr>
          <w:sz w:val="24"/>
          <w:szCs w:val="24"/>
        </w:rPr>
        <w:t>avaliação d</w:t>
      </w:r>
      <w:r w:rsidR="00141D04" w:rsidRPr="0004492D">
        <w:rPr>
          <w:sz w:val="24"/>
          <w:szCs w:val="24"/>
        </w:rPr>
        <w:t>os</w:t>
      </w:r>
      <w:r w:rsidR="00BB0FD0" w:rsidRPr="0004492D">
        <w:rPr>
          <w:sz w:val="24"/>
          <w:szCs w:val="24"/>
        </w:rPr>
        <w:t xml:space="preserve"> passivos contingentes e outros riscos fiscais capazes de afetar as </w:t>
      </w:r>
      <w:r w:rsidR="00141D04" w:rsidRPr="0004492D">
        <w:rPr>
          <w:sz w:val="24"/>
          <w:szCs w:val="24"/>
        </w:rPr>
        <w:t>c</w:t>
      </w:r>
      <w:r w:rsidR="00BB0FD0" w:rsidRPr="0004492D">
        <w:rPr>
          <w:sz w:val="24"/>
          <w:szCs w:val="24"/>
        </w:rPr>
        <w:t xml:space="preserve">ontas </w:t>
      </w:r>
      <w:r w:rsidR="00141D04" w:rsidRPr="0004492D">
        <w:rPr>
          <w:sz w:val="24"/>
          <w:szCs w:val="24"/>
        </w:rPr>
        <w:t>p</w:t>
      </w:r>
      <w:r w:rsidR="00BB0FD0" w:rsidRPr="0004492D">
        <w:rPr>
          <w:sz w:val="24"/>
          <w:szCs w:val="24"/>
        </w:rPr>
        <w:t>úblicas</w:t>
      </w:r>
      <w:r w:rsidR="001A7679" w:rsidRPr="0004492D">
        <w:rPr>
          <w:sz w:val="24"/>
          <w:szCs w:val="24"/>
        </w:rPr>
        <w:t xml:space="preserve">, </w:t>
      </w:r>
      <w:r w:rsidR="00BD0588">
        <w:rPr>
          <w:sz w:val="24"/>
          <w:szCs w:val="24"/>
        </w:rPr>
        <w:t xml:space="preserve">os quais </w:t>
      </w:r>
      <w:r w:rsidR="00E61524" w:rsidRPr="0004492D">
        <w:rPr>
          <w:sz w:val="24"/>
          <w:szCs w:val="24"/>
        </w:rPr>
        <w:t>deverão ser observado</w:t>
      </w:r>
      <w:r w:rsidR="00BD0588">
        <w:rPr>
          <w:sz w:val="24"/>
          <w:szCs w:val="24"/>
        </w:rPr>
        <w:t>s</w:t>
      </w:r>
      <w:r w:rsidR="00E61524" w:rsidRPr="0004492D">
        <w:rPr>
          <w:sz w:val="24"/>
          <w:szCs w:val="24"/>
        </w:rPr>
        <w:t xml:space="preserve"> no </w:t>
      </w:r>
      <w:r w:rsidR="001A7679" w:rsidRPr="0004492D">
        <w:rPr>
          <w:sz w:val="24"/>
          <w:szCs w:val="24"/>
        </w:rPr>
        <w:t xml:space="preserve"> processo de elaboração da </w:t>
      </w:r>
      <w:r w:rsidR="005D3B82">
        <w:rPr>
          <w:sz w:val="24"/>
          <w:szCs w:val="24"/>
        </w:rPr>
        <w:t>p</w:t>
      </w:r>
      <w:r w:rsidR="001A7679" w:rsidRPr="0004492D">
        <w:rPr>
          <w:sz w:val="24"/>
          <w:szCs w:val="24"/>
        </w:rPr>
        <w:t xml:space="preserve">roposta </w:t>
      </w:r>
      <w:r w:rsidR="005D3B82">
        <w:rPr>
          <w:sz w:val="24"/>
          <w:szCs w:val="24"/>
        </w:rPr>
        <w:t>o</w:t>
      </w:r>
      <w:r w:rsidR="001A7679" w:rsidRPr="0004492D">
        <w:rPr>
          <w:sz w:val="24"/>
          <w:szCs w:val="24"/>
        </w:rPr>
        <w:t>rçamentária</w:t>
      </w:r>
      <w:r w:rsidR="0093486B" w:rsidRPr="0004492D">
        <w:rPr>
          <w:sz w:val="24"/>
          <w:szCs w:val="24"/>
        </w:rPr>
        <w:t>. Além disso, são apresentadas</w:t>
      </w:r>
      <w:r w:rsidR="00BB0FD0" w:rsidRPr="0004492D">
        <w:rPr>
          <w:sz w:val="24"/>
          <w:szCs w:val="24"/>
        </w:rPr>
        <w:t xml:space="preserve"> </w:t>
      </w:r>
      <w:r w:rsidR="0093486B" w:rsidRPr="0004492D">
        <w:rPr>
          <w:sz w:val="24"/>
          <w:szCs w:val="24"/>
        </w:rPr>
        <w:t>as informações</w:t>
      </w:r>
      <w:r w:rsidR="00E61524" w:rsidRPr="0004492D">
        <w:rPr>
          <w:sz w:val="24"/>
          <w:szCs w:val="24"/>
        </w:rPr>
        <w:t xml:space="preserve"> a</w:t>
      </w:r>
      <w:r w:rsidR="00141D04" w:rsidRPr="0004492D">
        <w:rPr>
          <w:sz w:val="24"/>
          <w:szCs w:val="24"/>
        </w:rPr>
        <w:t xml:space="preserve">cerca das </w:t>
      </w:r>
      <w:r w:rsidR="00BB0FD0" w:rsidRPr="0004492D">
        <w:rPr>
          <w:sz w:val="24"/>
          <w:szCs w:val="24"/>
        </w:rPr>
        <w:t xml:space="preserve">providências </w:t>
      </w:r>
      <w:r w:rsidR="00141D04" w:rsidRPr="0004492D">
        <w:rPr>
          <w:sz w:val="24"/>
          <w:szCs w:val="24"/>
        </w:rPr>
        <w:t xml:space="preserve">a serem </w:t>
      </w:r>
      <w:r w:rsidR="00C331F9" w:rsidRPr="0004492D">
        <w:rPr>
          <w:sz w:val="24"/>
          <w:szCs w:val="24"/>
        </w:rPr>
        <w:t>adotadas</w:t>
      </w:r>
      <w:r w:rsidR="00A42232" w:rsidRPr="0004492D">
        <w:rPr>
          <w:sz w:val="24"/>
          <w:szCs w:val="24"/>
        </w:rPr>
        <w:t>, caso se concretizem</w:t>
      </w:r>
      <w:r w:rsidR="00BD0588">
        <w:rPr>
          <w:sz w:val="24"/>
          <w:szCs w:val="24"/>
        </w:rPr>
        <w:t xml:space="preserve"> </w:t>
      </w:r>
      <w:r w:rsidR="0093486B" w:rsidRPr="0004492D">
        <w:rPr>
          <w:sz w:val="24"/>
          <w:szCs w:val="24"/>
        </w:rPr>
        <w:t xml:space="preserve">os riscos </w:t>
      </w:r>
      <w:r w:rsidR="00BD0588">
        <w:rPr>
          <w:sz w:val="24"/>
          <w:szCs w:val="24"/>
        </w:rPr>
        <w:t>mencionados</w:t>
      </w:r>
      <w:r w:rsidR="007D0C5D">
        <w:rPr>
          <w:sz w:val="24"/>
          <w:szCs w:val="24"/>
        </w:rPr>
        <w:t xml:space="preserve"> neste anexo.</w:t>
      </w:r>
      <w:r w:rsidR="001A7679" w:rsidRPr="0004492D">
        <w:rPr>
          <w:sz w:val="24"/>
          <w:szCs w:val="24"/>
        </w:rPr>
        <w:t xml:space="preserve"> </w:t>
      </w:r>
    </w:p>
    <w:p w:rsidR="00BB0FD0" w:rsidRPr="0004492D" w:rsidRDefault="007D0C5D" w:rsidP="00611A3C">
      <w:pPr>
        <w:spacing w:before="120" w:after="120" w:line="360" w:lineRule="auto"/>
        <w:ind w:firstLine="1416"/>
        <w:jc w:val="both"/>
        <w:rPr>
          <w:sz w:val="24"/>
          <w:szCs w:val="24"/>
        </w:rPr>
      </w:pPr>
      <w:r>
        <w:rPr>
          <w:sz w:val="24"/>
          <w:szCs w:val="24"/>
        </w:rPr>
        <w:t>Assim</w:t>
      </w:r>
      <w:r w:rsidR="0001552D" w:rsidRPr="0004492D">
        <w:rPr>
          <w:sz w:val="24"/>
          <w:szCs w:val="24"/>
        </w:rPr>
        <w:t xml:space="preserve">, </w:t>
      </w:r>
      <w:r w:rsidR="00AC6045" w:rsidRPr="0004492D">
        <w:rPr>
          <w:sz w:val="24"/>
          <w:szCs w:val="24"/>
        </w:rPr>
        <w:t xml:space="preserve">são levadas a efeito possibilidades </w:t>
      </w:r>
      <w:r w:rsidR="00C331F9" w:rsidRPr="0004492D">
        <w:rPr>
          <w:sz w:val="24"/>
          <w:szCs w:val="24"/>
        </w:rPr>
        <w:t xml:space="preserve">de </w:t>
      </w:r>
      <w:r w:rsidR="00AC6045" w:rsidRPr="0004492D">
        <w:rPr>
          <w:sz w:val="24"/>
          <w:szCs w:val="24"/>
        </w:rPr>
        <w:t xml:space="preserve">dispêndios compulsórios ao </w:t>
      </w:r>
      <w:r w:rsidR="00C331F9" w:rsidRPr="0004492D">
        <w:rPr>
          <w:sz w:val="24"/>
          <w:szCs w:val="24"/>
        </w:rPr>
        <w:t>Governo</w:t>
      </w:r>
      <w:r w:rsidR="00AC6045" w:rsidRPr="0004492D">
        <w:rPr>
          <w:sz w:val="24"/>
          <w:szCs w:val="24"/>
        </w:rPr>
        <w:t>,</w:t>
      </w:r>
      <w:r w:rsidR="00C331F9" w:rsidRPr="0004492D">
        <w:rPr>
          <w:sz w:val="24"/>
          <w:szCs w:val="24"/>
        </w:rPr>
        <w:t xml:space="preserve"> originário</w:t>
      </w:r>
      <w:r w:rsidR="0001552D" w:rsidRPr="0004492D">
        <w:rPr>
          <w:sz w:val="24"/>
          <w:szCs w:val="24"/>
        </w:rPr>
        <w:t xml:space="preserve">s de situações decorrentes de </w:t>
      </w:r>
      <w:r w:rsidR="00AC6045" w:rsidRPr="0004492D">
        <w:rPr>
          <w:sz w:val="24"/>
          <w:szCs w:val="24"/>
        </w:rPr>
        <w:t xml:space="preserve">ações </w:t>
      </w:r>
      <w:r w:rsidR="0001552D" w:rsidRPr="0004492D">
        <w:rPr>
          <w:sz w:val="24"/>
          <w:szCs w:val="24"/>
        </w:rPr>
        <w:t>específicas</w:t>
      </w:r>
      <w:r w:rsidR="00E6729D" w:rsidRPr="0004492D">
        <w:rPr>
          <w:sz w:val="24"/>
          <w:szCs w:val="24"/>
        </w:rPr>
        <w:t>,</w:t>
      </w:r>
      <w:r w:rsidR="002C5834" w:rsidRPr="0004492D">
        <w:rPr>
          <w:sz w:val="24"/>
          <w:szCs w:val="24"/>
        </w:rPr>
        <w:t xml:space="preserve"> </w:t>
      </w:r>
      <w:r w:rsidR="0001552D" w:rsidRPr="0004492D">
        <w:rPr>
          <w:sz w:val="24"/>
          <w:szCs w:val="24"/>
        </w:rPr>
        <w:t>estabelecidas por lei</w:t>
      </w:r>
      <w:r w:rsidR="00BD0588">
        <w:rPr>
          <w:sz w:val="24"/>
          <w:szCs w:val="24"/>
        </w:rPr>
        <w:t>,</w:t>
      </w:r>
      <w:r w:rsidR="0001552D" w:rsidRPr="0004492D">
        <w:rPr>
          <w:sz w:val="24"/>
          <w:szCs w:val="24"/>
        </w:rPr>
        <w:t xml:space="preserve"> </w:t>
      </w:r>
      <w:r w:rsidR="00C331F9" w:rsidRPr="0004492D">
        <w:rPr>
          <w:sz w:val="24"/>
          <w:szCs w:val="24"/>
        </w:rPr>
        <w:t>decisões ou acordos</w:t>
      </w:r>
      <w:r w:rsidR="00084831" w:rsidRPr="0004492D">
        <w:rPr>
          <w:sz w:val="24"/>
          <w:szCs w:val="24"/>
        </w:rPr>
        <w:t>, que</w:t>
      </w:r>
      <w:r w:rsidR="00916EF9" w:rsidRPr="0004492D">
        <w:rPr>
          <w:sz w:val="24"/>
          <w:szCs w:val="24"/>
        </w:rPr>
        <w:t>, um</w:t>
      </w:r>
      <w:r w:rsidR="00540206">
        <w:rPr>
          <w:sz w:val="24"/>
          <w:szCs w:val="24"/>
        </w:rPr>
        <w:t>a vez devidos</w:t>
      </w:r>
      <w:r w:rsidR="00916EF9" w:rsidRPr="0004492D">
        <w:rPr>
          <w:sz w:val="24"/>
          <w:szCs w:val="24"/>
        </w:rPr>
        <w:t>,</w:t>
      </w:r>
      <w:r w:rsidR="00084831" w:rsidRPr="0004492D">
        <w:rPr>
          <w:sz w:val="24"/>
          <w:szCs w:val="24"/>
        </w:rPr>
        <w:t xml:space="preserve"> o</w:t>
      </w:r>
      <w:r w:rsidR="00CC4184" w:rsidRPr="0004492D">
        <w:rPr>
          <w:sz w:val="24"/>
          <w:szCs w:val="24"/>
        </w:rPr>
        <w:t xml:space="preserve"> E</w:t>
      </w:r>
      <w:r w:rsidR="00AC6045" w:rsidRPr="0004492D">
        <w:rPr>
          <w:sz w:val="24"/>
          <w:szCs w:val="24"/>
        </w:rPr>
        <w:t xml:space="preserve">stado </w:t>
      </w:r>
      <w:r w:rsidR="005D3B82">
        <w:rPr>
          <w:sz w:val="24"/>
          <w:szCs w:val="24"/>
        </w:rPr>
        <w:t>prontamente</w:t>
      </w:r>
      <w:r w:rsidR="00AC6045" w:rsidRPr="0004492D">
        <w:rPr>
          <w:sz w:val="24"/>
          <w:szCs w:val="24"/>
        </w:rPr>
        <w:t xml:space="preserve"> </w:t>
      </w:r>
      <w:r w:rsidR="00BD0588" w:rsidRPr="0004492D">
        <w:rPr>
          <w:sz w:val="24"/>
          <w:szCs w:val="24"/>
        </w:rPr>
        <w:t xml:space="preserve">deve </w:t>
      </w:r>
      <w:r w:rsidR="00AC6045" w:rsidRPr="0004492D">
        <w:rPr>
          <w:sz w:val="24"/>
          <w:szCs w:val="24"/>
        </w:rPr>
        <w:t>atender.</w:t>
      </w:r>
    </w:p>
    <w:p w:rsidR="00E61524" w:rsidRPr="0004492D" w:rsidRDefault="00E61524" w:rsidP="00611A3C">
      <w:pPr>
        <w:spacing w:before="120" w:after="120" w:line="360" w:lineRule="auto"/>
        <w:ind w:firstLine="1416"/>
        <w:jc w:val="both"/>
        <w:rPr>
          <w:b/>
          <w:sz w:val="24"/>
          <w:szCs w:val="24"/>
        </w:rPr>
      </w:pPr>
      <w:r w:rsidRPr="0004492D">
        <w:rPr>
          <w:sz w:val="24"/>
          <w:szCs w:val="24"/>
        </w:rPr>
        <w:t>Basicamente</w:t>
      </w:r>
      <w:r w:rsidR="00CD1A71" w:rsidRPr="0004492D">
        <w:rPr>
          <w:sz w:val="24"/>
          <w:szCs w:val="24"/>
        </w:rPr>
        <w:t>,</w:t>
      </w:r>
      <w:r w:rsidRPr="0004492D">
        <w:rPr>
          <w:sz w:val="24"/>
          <w:szCs w:val="24"/>
        </w:rPr>
        <w:t xml:space="preserve"> são apresentadas duas </w:t>
      </w:r>
      <w:r w:rsidR="00C331F9" w:rsidRPr="0004492D">
        <w:rPr>
          <w:sz w:val="24"/>
          <w:szCs w:val="24"/>
        </w:rPr>
        <w:t>situações de riscos:</w:t>
      </w:r>
      <w:r w:rsidR="00AC6045" w:rsidRPr="0004492D">
        <w:rPr>
          <w:sz w:val="24"/>
          <w:szCs w:val="24"/>
        </w:rPr>
        <w:t xml:space="preserve"> os riscos orçamentári</w:t>
      </w:r>
      <w:r w:rsidR="00C331F9" w:rsidRPr="0004492D">
        <w:rPr>
          <w:sz w:val="24"/>
          <w:szCs w:val="24"/>
        </w:rPr>
        <w:t>os</w:t>
      </w:r>
      <w:r w:rsidR="00AC6045" w:rsidRPr="0004492D">
        <w:rPr>
          <w:sz w:val="24"/>
          <w:szCs w:val="24"/>
        </w:rPr>
        <w:t xml:space="preserve"> </w:t>
      </w:r>
      <w:r w:rsidR="00BC0F66" w:rsidRPr="0004492D">
        <w:rPr>
          <w:sz w:val="24"/>
          <w:szCs w:val="24"/>
        </w:rPr>
        <w:t xml:space="preserve">e </w:t>
      </w:r>
      <w:r w:rsidRPr="0004492D">
        <w:rPr>
          <w:sz w:val="24"/>
          <w:szCs w:val="24"/>
        </w:rPr>
        <w:t>os de dívida</w:t>
      </w:r>
      <w:r w:rsidR="00944E2A">
        <w:rPr>
          <w:sz w:val="24"/>
          <w:szCs w:val="24"/>
        </w:rPr>
        <w:t xml:space="preserve"> pública</w:t>
      </w:r>
      <w:proofErr w:type="gramStart"/>
      <w:r w:rsidR="00A72017">
        <w:rPr>
          <w:sz w:val="24"/>
          <w:szCs w:val="24"/>
        </w:rPr>
        <w:t>,</w:t>
      </w:r>
      <w:r w:rsidR="00B57C8A">
        <w:rPr>
          <w:sz w:val="24"/>
          <w:szCs w:val="24"/>
        </w:rPr>
        <w:t xml:space="preserve"> </w:t>
      </w:r>
      <w:r w:rsidR="005372D2" w:rsidRPr="0004492D">
        <w:rPr>
          <w:sz w:val="24"/>
          <w:szCs w:val="24"/>
        </w:rPr>
        <w:t>sejam</w:t>
      </w:r>
      <w:proofErr w:type="gramEnd"/>
      <w:r w:rsidRPr="0004492D">
        <w:rPr>
          <w:sz w:val="24"/>
          <w:szCs w:val="24"/>
        </w:rPr>
        <w:t xml:space="preserve"> </w:t>
      </w:r>
      <w:r w:rsidR="00CD1A71" w:rsidRPr="0004492D">
        <w:rPr>
          <w:sz w:val="24"/>
          <w:szCs w:val="24"/>
        </w:rPr>
        <w:t xml:space="preserve">eles </w:t>
      </w:r>
      <w:r w:rsidRPr="0004492D">
        <w:rPr>
          <w:sz w:val="24"/>
          <w:szCs w:val="24"/>
        </w:rPr>
        <w:t>decorrente</w:t>
      </w:r>
      <w:r w:rsidR="00CD1A71" w:rsidRPr="0004492D">
        <w:rPr>
          <w:sz w:val="24"/>
          <w:szCs w:val="24"/>
        </w:rPr>
        <w:t>s</w:t>
      </w:r>
      <w:r w:rsidRPr="0004492D">
        <w:rPr>
          <w:sz w:val="24"/>
          <w:szCs w:val="24"/>
        </w:rPr>
        <w:t xml:space="preserve"> de empréstimos </w:t>
      </w:r>
      <w:r w:rsidR="00CD1A71" w:rsidRPr="0004492D">
        <w:rPr>
          <w:sz w:val="24"/>
          <w:szCs w:val="24"/>
        </w:rPr>
        <w:t>ou</w:t>
      </w:r>
      <w:r w:rsidRPr="0004492D">
        <w:rPr>
          <w:sz w:val="24"/>
          <w:szCs w:val="24"/>
        </w:rPr>
        <w:t xml:space="preserve"> financiamento</w:t>
      </w:r>
      <w:r w:rsidR="006F0BBD">
        <w:rPr>
          <w:sz w:val="24"/>
          <w:szCs w:val="24"/>
        </w:rPr>
        <w:t>s</w:t>
      </w:r>
      <w:r w:rsidR="007D0C5D">
        <w:rPr>
          <w:sz w:val="24"/>
          <w:szCs w:val="24"/>
        </w:rPr>
        <w:t>, de frustração na arrecadação de receita</w:t>
      </w:r>
      <w:r w:rsidRPr="0004492D">
        <w:rPr>
          <w:sz w:val="24"/>
          <w:szCs w:val="24"/>
        </w:rPr>
        <w:t xml:space="preserve"> ou de passivos contingentes</w:t>
      </w:r>
      <w:r w:rsidR="00C331F9" w:rsidRPr="0004492D">
        <w:rPr>
          <w:sz w:val="24"/>
          <w:szCs w:val="24"/>
        </w:rPr>
        <w:t>.</w:t>
      </w:r>
      <w:bookmarkStart w:id="0" w:name="OLE_LINK7"/>
      <w:bookmarkStart w:id="1" w:name="OLE_LINK8"/>
    </w:p>
    <w:p w:rsidR="00916EF9" w:rsidRPr="00611A3C" w:rsidRDefault="00944E2A" w:rsidP="00793746">
      <w:pPr>
        <w:numPr>
          <w:ilvl w:val="0"/>
          <w:numId w:val="12"/>
        </w:numPr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DOS </w:t>
      </w:r>
      <w:r w:rsidR="00916EF9" w:rsidRPr="0004492D">
        <w:rPr>
          <w:b/>
          <w:sz w:val="24"/>
          <w:szCs w:val="24"/>
        </w:rPr>
        <w:t>RISCOS ORÇAMENTÁRIOS</w:t>
      </w:r>
      <w:bookmarkEnd w:id="0"/>
      <w:bookmarkEnd w:id="1"/>
    </w:p>
    <w:p w:rsidR="00CD1A71" w:rsidRDefault="00793746" w:rsidP="00611A3C">
      <w:pPr>
        <w:spacing w:before="120" w:after="120" w:line="360" w:lineRule="auto"/>
        <w:ind w:firstLine="1416"/>
        <w:jc w:val="both"/>
        <w:rPr>
          <w:sz w:val="24"/>
          <w:szCs w:val="24"/>
        </w:rPr>
      </w:pPr>
      <w:r w:rsidRPr="0004492D">
        <w:rPr>
          <w:sz w:val="24"/>
          <w:szCs w:val="24"/>
        </w:rPr>
        <w:t>Diz</w:t>
      </w:r>
      <w:r w:rsidR="003A75DD" w:rsidRPr="0004492D">
        <w:rPr>
          <w:sz w:val="24"/>
          <w:szCs w:val="24"/>
        </w:rPr>
        <w:t xml:space="preserve"> respeito à possibilidade de</w:t>
      </w:r>
      <w:r w:rsidR="00E61524" w:rsidRPr="0004492D">
        <w:rPr>
          <w:sz w:val="24"/>
          <w:szCs w:val="24"/>
        </w:rPr>
        <w:t xml:space="preserve"> as estimativas de arrecadação de</w:t>
      </w:r>
      <w:r w:rsidR="003A75DD" w:rsidRPr="0004492D">
        <w:rPr>
          <w:sz w:val="24"/>
          <w:szCs w:val="24"/>
        </w:rPr>
        <w:t xml:space="preserve"> receitas e</w:t>
      </w:r>
      <w:r w:rsidR="00E61524" w:rsidRPr="0004492D">
        <w:rPr>
          <w:sz w:val="24"/>
          <w:szCs w:val="24"/>
        </w:rPr>
        <w:t xml:space="preserve"> de realização de </w:t>
      </w:r>
      <w:r w:rsidR="003A75DD" w:rsidRPr="0004492D">
        <w:rPr>
          <w:sz w:val="24"/>
          <w:szCs w:val="24"/>
        </w:rPr>
        <w:t xml:space="preserve">despesas </w:t>
      </w:r>
      <w:r w:rsidR="007E11C2" w:rsidRPr="0004492D">
        <w:rPr>
          <w:sz w:val="24"/>
          <w:szCs w:val="24"/>
        </w:rPr>
        <w:t xml:space="preserve">na Lei Orçamentária Anual </w:t>
      </w:r>
      <w:r w:rsidR="003A75DD" w:rsidRPr="0004492D">
        <w:rPr>
          <w:sz w:val="24"/>
          <w:szCs w:val="24"/>
        </w:rPr>
        <w:t>não se confirmarem</w:t>
      </w:r>
      <w:r w:rsidR="009E4284" w:rsidRPr="0004492D">
        <w:rPr>
          <w:sz w:val="24"/>
          <w:szCs w:val="24"/>
        </w:rPr>
        <w:t xml:space="preserve"> durante o exercício financeiro, conforme planejado na elaboração </w:t>
      </w:r>
      <w:r w:rsidR="00944E2A">
        <w:rPr>
          <w:sz w:val="24"/>
          <w:szCs w:val="24"/>
        </w:rPr>
        <w:t xml:space="preserve">da proposta </w:t>
      </w:r>
      <w:r w:rsidR="009E4284" w:rsidRPr="0004492D">
        <w:rPr>
          <w:sz w:val="24"/>
          <w:szCs w:val="24"/>
        </w:rPr>
        <w:t>da Lei Orçamentária</w:t>
      </w:r>
      <w:r w:rsidR="005D3B82">
        <w:rPr>
          <w:sz w:val="24"/>
          <w:szCs w:val="24"/>
        </w:rPr>
        <w:t>.</w:t>
      </w:r>
    </w:p>
    <w:p w:rsidR="00793746" w:rsidRPr="0004492D" w:rsidRDefault="00793746" w:rsidP="00793746">
      <w:pPr>
        <w:spacing w:before="120" w:after="120" w:line="360" w:lineRule="auto"/>
        <w:ind w:firstLine="1416"/>
        <w:jc w:val="both"/>
        <w:rPr>
          <w:sz w:val="24"/>
          <w:szCs w:val="24"/>
        </w:rPr>
      </w:pPr>
      <w:r w:rsidRPr="0004492D">
        <w:rPr>
          <w:sz w:val="24"/>
          <w:szCs w:val="24"/>
        </w:rPr>
        <w:t xml:space="preserve">O reflexo desse desvio ocorre, no caso da receita, em função de </w:t>
      </w:r>
      <w:r>
        <w:rPr>
          <w:sz w:val="24"/>
          <w:szCs w:val="24"/>
        </w:rPr>
        <w:t xml:space="preserve">alguns </w:t>
      </w:r>
      <w:r w:rsidRPr="0004492D">
        <w:rPr>
          <w:sz w:val="24"/>
          <w:szCs w:val="24"/>
        </w:rPr>
        <w:t>fatores econômicos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influenciarem</w:t>
      </w:r>
      <w:proofErr w:type="gramEnd"/>
      <w:r>
        <w:rPr>
          <w:sz w:val="24"/>
          <w:szCs w:val="24"/>
        </w:rPr>
        <w:t xml:space="preserve"> negativamente </w:t>
      </w:r>
      <w:r w:rsidRPr="0004492D">
        <w:rPr>
          <w:sz w:val="24"/>
          <w:szCs w:val="24"/>
        </w:rPr>
        <w:t>o comport</w:t>
      </w:r>
      <w:r w:rsidR="009D544F">
        <w:rPr>
          <w:sz w:val="24"/>
          <w:szCs w:val="24"/>
        </w:rPr>
        <w:t>amento da arrecadação</w:t>
      </w:r>
      <w:r w:rsidRPr="0004492D">
        <w:rPr>
          <w:sz w:val="24"/>
          <w:szCs w:val="24"/>
        </w:rPr>
        <w:t>, pod</w:t>
      </w:r>
      <w:r>
        <w:rPr>
          <w:sz w:val="24"/>
          <w:szCs w:val="24"/>
        </w:rPr>
        <w:t xml:space="preserve">endo, dessa forma, comprometer </w:t>
      </w:r>
      <w:r w:rsidRPr="0004492D">
        <w:rPr>
          <w:sz w:val="24"/>
          <w:szCs w:val="24"/>
        </w:rPr>
        <w:t xml:space="preserve">a realização das despesas </w:t>
      </w:r>
      <w:r>
        <w:rPr>
          <w:sz w:val="24"/>
          <w:szCs w:val="24"/>
        </w:rPr>
        <w:t>autorizadas</w:t>
      </w:r>
      <w:r w:rsidRPr="0004492D">
        <w:rPr>
          <w:sz w:val="24"/>
          <w:szCs w:val="24"/>
        </w:rPr>
        <w:t xml:space="preserve"> na Lei </w:t>
      </w:r>
      <w:r>
        <w:rPr>
          <w:sz w:val="24"/>
          <w:szCs w:val="24"/>
        </w:rPr>
        <w:t>Orçamentária, sobretudo os investimentos e a ampliação de políticas públicas de caráter continuado</w:t>
      </w:r>
      <w:r w:rsidRPr="0004492D">
        <w:rPr>
          <w:sz w:val="24"/>
          <w:szCs w:val="24"/>
        </w:rPr>
        <w:t>. No caso da despesa, o risco</w:t>
      </w:r>
      <w:r>
        <w:rPr>
          <w:sz w:val="24"/>
          <w:szCs w:val="24"/>
        </w:rPr>
        <w:t xml:space="preserve"> pode </w:t>
      </w:r>
      <w:r w:rsidRPr="0004492D">
        <w:rPr>
          <w:sz w:val="24"/>
          <w:szCs w:val="24"/>
        </w:rPr>
        <w:t>decorre</w:t>
      </w:r>
      <w:r w:rsidR="005372D2"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 w:rsidRPr="0004492D">
        <w:rPr>
          <w:sz w:val="24"/>
          <w:szCs w:val="24"/>
        </w:rPr>
        <w:t xml:space="preserve">de variações nos valores pré-estabelecidos, em </w:t>
      </w:r>
      <w:r>
        <w:rPr>
          <w:sz w:val="24"/>
          <w:szCs w:val="24"/>
        </w:rPr>
        <w:t>função de modificações urgentes</w:t>
      </w:r>
      <w:r w:rsidRPr="0004492D">
        <w:rPr>
          <w:sz w:val="24"/>
          <w:szCs w:val="24"/>
        </w:rPr>
        <w:t xml:space="preserve"> e imprescindíveis ou que tenha</w:t>
      </w:r>
      <w:r>
        <w:rPr>
          <w:sz w:val="24"/>
          <w:szCs w:val="24"/>
        </w:rPr>
        <w:t>m</w:t>
      </w:r>
      <w:r w:rsidRPr="0004492D">
        <w:rPr>
          <w:sz w:val="24"/>
          <w:szCs w:val="24"/>
        </w:rPr>
        <w:t xml:space="preserve"> sua execução imposta, sem a devida contrapartida prévia. </w:t>
      </w:r>
      <w:r>
        <w:rPr>
          <w:sz w:val="24"/>
          <w:szCs w:val="24"/>
        </w:rPr>
        <w:t>Como exemplos, pode</w:t>
      </w:r>
      <w:r w:rsidR="009D544F">
        <w:rPr>
          <w:sz w:val="24"/>
          <w:szCs w:val="24"/>
        </w:rPr>
        <w:t>m</w:t>
      </w:r>
      <w:r>
        <w:rPr>
          <w:sz w:val="24"/>
          <w:szCs w:val="24"/>
        </w:rPr>
        <w:t>-se citar o aumento do teto do funcionalismo público ou uma despesa maior do que a prevista</w:t>
      </w:r>
      <w:r w:rsidR="005372D2">
        <w:rPr>
          <w:sz w:val="24"/>
          <w:szCs w:val="24"/>
        </w:rPr>
        <w:t xml:space="preserve"> com benefícios sociais.</w:t>
      </w:r>
    </w:p>
    <w:p w:rsidR="00793746" w:rsidRPr="005372D2" w:rsidRDefault="00793746" w:rsidP="005372D2">
      <w:pPr>
        <w:spacing w:before="120" w:after="120" w:line="360" w:lineRule="auto"/>
        <w:ind w:firstLine="1416"/>
        <w:jc w:val="both"/>
        <w:rPr>
          <w:sz w:val="16"/>
          <w:szCs w:val="16"/>
        </w:rPr>
      </w:pPr>
      <w:r>
        <w:rPr>
          <w:sz w:val="24"/>
          <w:szCs w:val="24"/>
        </w:rPr>
        <w:lastRenderedPageBreak/>
        <w:t xml:space="preserve">De toda sorte, </w:t>
      </w:r>
      <w:r w:rsidRPr="0004492D">
        <w:rPr>
          <w:sz w:val="24"/>
          <w:szCs w:val="24"/>
        </w:rPr>
        <w:t>essas mudanças de comportamento suscitam a necessidade de se efetuarem reprogramações orçamentárias</w:t>
      </w:r>
      <w:r>
        <w:rPr>
          <w:sz w:val="24"/>
          <w:szCs w:val="24"/>
        </w:rPr>
        <w:t>, assim como promover</w:t>
      </w:r>
      <w:r w:rsidRPr="0004492D">
        <w:rPr>
          <w:sz w:val="24"/>
          <w:szCs w:val="24"/>
        </w:rPr>
        <w:t xml:space="preserve"> limitações de em</w:t>
      </w:r>
      <w:r>
        <w:rPr>
          <w:sz w:val="24"/>
          <w:szCs w:val="24"/>
        </w:rPr>
        <w:t xml:space="preserve">penho e </w:t>
      </w:r>
      <w:r w:rsidR="00B57C8A">
        <w:rPr>
          <w:sz w:val="24"/>
          <w:szCs w:val="24"/>
        </w:rPr>
        <w:t xml:space="preserve">de </w:t>
      </w:r>
      <w:r>
        <w:rPr>
          <w:sz w:val="24"/>
          <w:szCs w:val="24"/>
        </w:rPr>
        <w:t>movimentação financeira diferente das já planejadas.</w:t>
      </w:r>
    </w:p>
    <w:p w:rsidR="00E9691D" w:rsidRDefault="00B57C8A" w:rsidP="00C47E14">
      <w:pPr>
        <w:numPr>
          <w:ilvl w:val="1"/>
          <w:numId w:val="12"/>
        </w:numPr>
        <w:spacing w:before="120"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9691D" w:rsidRPr="005620DA">
        <w:rPr>
          <w:b/>
          <w:sz w:val="24"/>
          <w:szCs w:val="24"/>
        </w:rPr>
        <w:t xml:space="preserve">AVALIAÇÃO DOS RISCOS </w:t>
      </w:r>
      <w:r>
        <w:rPr>
          <w:b/>
          <w:sz w:val="24"/>
          <w:szCs w:val="24"/>
        </w:rPr>
        <w:t>RELATIVOS</w:t>
      </w:r>
      <w:r w:rsidR="00E9691D" w:rsidRPr="005620DA">
        <w:rPr>
          <w:b/>
          <w:sz w:val="24"/>
          <w:szCs w:val="24"/>
        </w:rPr>
        <w:t xml:space="preserve"> À RECEITA TRIBUTÁRIA</w:t>
      </w:r>
    </w:p>
    <w:p w:rsidR="005620DA" w:rsidRPr="005620DA" w:rsidRDefault="005620DA" w:rsidP="005620DA">
      <w:pPr>
        <w:spacing w:before="120" w:after="120" w:line="360" w:lineRule="auto"/>
        <w:ind w:firstLine="1416"/>
        <w:jc w:val="both"/>
        <w:rPr>
          <w:sz w:val="24"/>
          <w:szCs w:val="24"/>
        </w:rPr>
      </w:pPr>
      <w:r w:rsidRPr="005620DA">
        <w:rPr>
          <w:sz w:val="24"/>
          <w:szCs w:val="24"/>
        </w:rPr>
        <w:t>Trata-se de uma análise de sensibilidade da previsão da receita tributária às variações dos parâmetros estimados e utilizados na previsão, tais como atividade econômica (PIB), nível de preços (INPC) e legislação tributária. Assim, serão mensurados os impactos na previsão da arrecadação ao longo do triênio 201</w:t>
      </w:r>
      <w:r w:rsidR="006B1E9D">
        <w:rPr>
          <w:sz w:val="24"/>
          <w:szCs w:val="24"/>
        </w:rPr>
        <w:t>4-2016</w:t>
      </w:r>
      <w:r w:rsidRPr="005620DA">
        <w:rPr>
          <w:sz w:val="24"/>
          <w:szCs w:val="24"/>
        </w:rPr>
        <w:t xml:space="preserve"> diante de desvios das estimativas para os parâmetros.</w:t>
      </w:r>
    </w:p>
    <w:p w:rsidR="005620DA" w:rsidRPr="005620DA" w:rsidRDefault="005620DA" w:rsidP="005620DA">
      <w:pPr>
        <w:spacing w:before="120" w:after="120" w:line="360" w:lineRule="auto"/>
        <w:ind w:firstLine="1416"/>
        <w:jc w:val="both"/>
        <w:rPr>
          <w:sz w:val="24"/>
          <w:szCs w:val="24"/>
        </w:rPr>
      </w:pPr>
      <w:r w:rsidRPr="005620DA">
        <w:rPr>
          <w:sz w:val="24"/>
          <w:szCs w:val="24"/>
        </w:rPr>
        <w:t xml:space="preserve">O Distrito Federal possui a característica peculiar de arrecadar impostos das esferas estadual e municipal. Do ponto de vista da esfera estadual, as receitas do ICMS e do IPVA são as mais expressivas, enquanto na esfera municipal, as do ISS e do IPTU despontam. A arrecadação dos quatro impostos representou </w:t>
      </w:r>
      <w:r w:rsidR="006B1E9D">
        <w:rPr>
          <w:sz w:val="24"/>
          <w:szCs w:val="24"/>
        </w:rPr>
        <w:t>72</w:t>
      </w:r>
      <w:r w:rsidRPr="005620DA">
        <w:rPr>
          <w:sz w:val="24"/>
          <w:szCs w:val="24"/>
        </w:rPr>
        <w:t>% do total da arrecadação de origem tributária do Distrito Federal em 201</w:t>
      </w:r>
      <w:r w:rsidR="006B1E9D">
        <w:rPr>
          <w:sz w:val="24"/>
          <w:szCs w:val="24"/>
        </w:rPr>
        <w:t>2</w:t>
      </w:r>
      <w:r w:rsidRPr="005620DA">
        <w:rPr>
          <w:sz w:val="24"/>
          <w:szCs w:val="24"/>
        </w:rPr>
        <w:t>. Dessa forma, é válido abordar os impactos na receita prevista para o PLDO/201</w:t>
      </w:r>
      <w:r w:rsidR="006B1E9D">
        <w:rPr>
          <w:sz w:val="24"/>
          <w:szCs w:val="24"/>
        </w:rPr>
        <w:t>4</w:t>
      </w:r>
      <w:r w:rsidRPr="005620DA">
        <w:rPr>
          <w:sz w:val="24"/>
          <w:szCs w:val="24"/>
        </w:rPr>
        <w:t xml:space="preserve"> caso sejam observados no triênio 201</w:t>
      </w:r>
      <w:r w:rsidR="006B1E9D">
        <w:rPr>
          <w:sz w:val="24"/>
          <w:szCs w:val="24"/>
        </w:rPr>
        <w:t>4</w:t>
      </w:r>
      <w:r w:rsidRPr="005620DA">
        <w:rPr>
          <w:sz w:val="24"/>
          <w:szCs w:val="24"/>
        </w:rPr>
        <w:t>-201</w:t>
      </w:r>
      <w:r w:rsidR="006B1E9D">
        <w:rPr>
          <w:sz w:val="24"/>
          <w:szCs w:val="24"/>
        </w:rPr>
        <w:t>6</w:t>
      </w:r>
      <w:r w:rsidRPr="005620DA">
        <w:rPr>
          <w:sz w:val="24"/>
          <w:szCs w:val="24"/>
        </w:rPr>
        <w:t xml:space="preserve"> valores diferentes dos considerados para os parâmetros utilizados na previsão das receitas do ICMS, ISS, IPVA e IPTU.</w:t>
      </w:r>
    </w:p>
    <w:p w:rsidR="005620DA" w:rsidRDefault="005620DA" w:rsidP="005620DA">
      <w:pPr>
        <w:spacing w:before="120" w:after="120" w:line="360" w:lineRule="auto"/>
        <w:ind w:firstLine="1416"/>
        <w:jc w:val="both"/>
        <w:rPr>
          <w:sz w:val="24"/>
          <w:szCs w:val="24"/>
        </w:rPr>
      </w:pPr>
      <w:r w:rsidRPr="005620DA">
        <w:rPr>
          <w:sz w:val="24"/>
          <w:szCs w:val="24"/>
        </w:rPr>
        <w:t>O ICMS representa a maior fonte de arrecadação, particip</w:t>
      </w:r>
      <w:r w:rsidR="006B1E9D">
        <w:rPr>
          <w:sz w:val="24"/>
          <w:szCs w:val="24"/>
        </w:rPr>
        <w:t>ando no Distrito Federal em 52</w:t>
      </w:r>
      <w:r w:rsidRPr="005620DA">
        <w:rPr>
          <w:sz w:val="24"/>
          <w:szCs w:val="24"/>
        </w:rPr>
        <w:t>% do total da receita tributária em 201</w:t>
      </w:r>
      <w:r w:rsidR="006B1E9D">
        <w:rPr>
          <w:sz w:val="24"/>
          <w:szCs w:val="24"/>
        </w:rPr>
        <w:t>2</w:t>
      </w:r>
      <w:r w:rsidRPr="005620DA">
        <w:rPr>
          <w:sz w:val="24"/>
          <w:szCs w:val="24"/>
        </w:rPr>
        <w:t>, sendo que o setor de serviços é o de maior relevância na economia distrital, representando mais de 90% do total da economia. Dessa forma, destaca-se a arrecadação do ICMS proveniente do segmento comércio, que está fortemente atrela</w:t>
      </w:r>
      <w:r>
        <w:rPr>
          <w:sz w:val="24"/>
          <w:szCs w:val="24"/>
        </w:rPr>
        <w:t>da ao PIB.</w:t>
      </w:r>
    </w:p>
    <w:p w:rsidR="005620DA" w:rsidRPr="005620DA" w:rsidRDefault="005620DA" w:rsidP="005620DA">
      <w:pPr>
        <w:spacing w:before="120" w:after="120" w:line="360" w:lineRule="auto"/>
        <w:ind w:firstLine="1416"/>
        <w:jc w:val="both"/>
        <w:rPr>
          <w:sz w:val="24"/>
          <w:szCs w:val="24"/>
        </w:rPr>
      </w:pPr>
      <w:r w:rsidRPr="005620DA">
        <w:rPr>
          <w:sz w:val="24"/>
          <w:szCs w:val="24"/>
        </w:rPr>
        <w:t>De maneira análoga ao ICMS, o ISS que também participa de forma relevante na arrecadação distrital, tem como fatores geradores atividades provenientes do setor de serviços, sendo destaque os segmentos da administração pública e intermediação financeira, que guardam também uma relação com</w:t>
      </w:r>
      <w:r>
        <w:rPr>
          <w:sz w:val="24"/>
          <w:szCs w:val="24"/>
        </w:rPr>
        <w:t xml:space="preserve"> o nível de atividade econômica.</w:t>
      </w:r>
    </w:p>
    <w:p w:rsidR="005620DA" w:rsidRPr="005620DA" w:rsidRDefault="005620DA" w:rsidP="005620DA">
      <w:pPr>
        <w:spacing w:before="120" w:after="120" w:line="360" w:lineRule="auto"/>
        <w:ind w:firstLine="1416"/>
        <w:jc w:val="both"/>
        <w:rPr>
          <w:sz w:val="24"/>
          <w:szCs w:val="24"/>
        </w:rPr>
      </w:pPr>
      <w:r w:rsidRPr="005620DA">
        <w:rPr>
          <w:sz w:val="24"/>
          <w:szCs w:val="24"/>
        </w:rPr>
        <w:t>Assim sendo, as previsões do ICMS e do ISS contidas no PLDO 201</w:t>
      </w:r>
      <w:r w:rsidR="006B1E9D">
        <w:rPr>
          <w:sz w:val="24"/>
          <w:szCs w:val="24"/>
        </w:rPr>
        <w:t>4</w:t>
      </w:r>
      <w:r w:rsidRPr="005620DA">
        <w:rPr>
          <w:sz w:val="24"/>
          <w:szCs w:val="24"/>
        </w:rPr>
        <w:t xml:space="preserve"> utilizam como variável explicativa o PIB Brasil, cuja estimativa de crescimento real foi obtida na Pesquisa </w:t>
      </w:r>
      <w:proofErr w:type="spellStart"/>
      <w:r w:rsidRPr="005620DA">
        <w:rPr>
          <w:sz w:val="24"/>
          <w:szCs w:val="24"/>
        </w:rPr>
        <w:t>Focus</w:t>
      </w:r>
      <w:proofErr w:type="spellEnd"/>
      <w:r w:rsidRPr="005620DA">
        <w:rPr>
          <w:sz w:val="24"/>
          <w:szCs w:val="24"/>
        </w:rPr>
        <w:t xml:space="preserve"> do Banco Central do Brasil em </w:t>
      </w:r>
      <w:r w:rsidR="006B1E9D">
        <w:rPr>
          <w:sz w:val="24"/>
          <w:szCs w:val="24"/>
        </w:rPr>
        <w:t>22/03/2013</w:t>
      </w:r>
      <w:r w:rsidRPr="005620DA">
        <w:rPr>
          <w:sz w:val="24"/>
          <w:szCs w:val="24"/>
        </w:rPr>
        <w:t>.</w:t>
      </w:r>
    </w:p>
    <w:p w:rsidR="005620DA" w:rsidRPr="005620DA" w:rsidRDefault="005620DA" w:rsidP="005620DA">
      <w:pPr>
        <w:spacing w:before="120" w:after="120" w:line="360" w:lineRule="auto"/>
        <w:ind w:firstLine="1416"/>
        <w:jc w:val="both"/>
        <w:rPr>
          <w:sz w:val="24"/>
          <w:szCs w:val="24"/>
        </w:rPr>
      </w:pPr>
      <w:r w:rsidRPr="005620DA">
        <w:rPr>
          <w:sz w:val="24"/>
          <w:szCs w:val="24"/>
        </w:rPr>
        <w:t xml:space="preserve">Os quadros </w:t>
      </w:r>
      <w:r w:rsidR="00A56E3A">
        <w:rPr>
          <w:sz w:val="24"/>
          <w:szCs w:val="24"/>
        </w:rPr>
        <w:t>a seguir</w:t>
      </w:r>
      <w:r w:rsidRPr="005620DA">
        <w:rPr>
          <w:sz w:val="24"/>
          <w:szCs w:val="24"/>
        </w:rPr>
        <w:t xml:space="preserve"> apresentam as variações nas receitas previstas para o ICMS e para o ISS, decorrentes de variações positivas e negativas de </w:t>
      </w:r>
      <w:proofErr w:type="gramStart"/>
      <w:r w:rsidRPr="005620DA">
        <w:rPr>
          <w:sz w:val="24"/>
          <w:szCs w:val="24"/>
        </w:rPr>
        <w:t>1</w:t>
      </w:r>
      <w:proofErr w:type="gramEnd"/>
      <w:r w:rsidRPr="005620DA">
        <w:rPr>
          <w:sz w:val="24"/>
          <w:szCs w:val="24"/>
        </w:rPr>
        <w:t xml:space="preserve"> ponto percentual da estimativa de crescimento real para o PIB Brasil em 201</w:t>
      </w:r>
      <w:r w:rsidR="006B1E9D">
        <w:rPr>
          <w:sz w:val="24"/>
          <w:szCs w:val="24"/>
        </w:rPr>
        <w:t>4</w:t>
      </w:r>
      <w:r w:rsidRPr="005620DA">
        <w:rPr>
          <w:sz w:val="24"/>
          <w:szCs w:val="24"/>
        </w:rPr>
        <w:t xml:space="preserve">, de </w:t>
      </w:r>
      <w:r w:rsidR="00806A62">
        <w:rPr>
          <w:sz w:val="24"/>
          <w:szCs w:val="24"/>
        </w:rPr>
        <w:t>3,55</w:t>
      </w:r>
      <w:r w:rsidRPr="005620DA">
        <w:rPr>
          <w:sz w:val="24"/>
          <w:szCs w:val="24"/>
        </w:rPr>
        <w:t>%.</w:t>
      </w:r>
    </w:p>
    <w:p w:rsidR="005620DA" w:rsidRPr="005620DA" w:rsidRDefault="005620DA" w:rsidP="00C86DFF">
      <w:pPr>
        <w:spacing w:before="120" w:after="120" w:line="360" w:lineRule="auto"/>
        <w:ind w:firstLine="1416"/>
        <w:jc w:val="center"/>
        <w:rPr>
          <w:b/>
          <w:sz w:val="24"/>
          <w:szCs w:val="24"/>
        </w:rPr>
      </w:pPr>
      <w:r w:rsidRPr="005620DA">
        <w:rPr>
          <w:b/>
          <w:sz w:val="24"/>
          <w:szCs w:val="24"/>
        </w:rPr>
        <w:t>Variações na Receita do ICMS X Variações no PIB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2409"/>
        <w:gridCol w:w="2268"/>
        <w:gridCol w:w="2268"/>
      </w:tblGrid>
      <w:tr w:rsidR="005620DA" w:rsidRPr="005620DA" w:rsidTr="00C86DFF">
        <w:tc>
          <w:tcPr>
            <w:tcW w:w="2802" w:type="dxa"/>
          </w:tcPr>
          <w:p w:rsidR="005620DA" w:rsidRPr="005620DA" w:rsidRDefault="005620DA" w:rsidP="005620DA">
            <w:pPr>
              <w:spacing w:before="120" w:after="120" w:line="360" w:lineRule="auto"/>
              <w:ind w:firstLine="1416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620DA" w:rsidRPr="005620DA" w:rsidRDefault="005620DA" w:rsidP="00806A62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5620DA">
              <w:rPr>
                <w:b/>
                <w:sz w:val="24"/>
                <w:szCs w:val="24"/>
              </w:rPr>
              <w:t>201</w:t>
            </w:r>
            <w:r w:rsidR="00806A6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5620DA" w:rsidRPr="005620DA" w:rsidRDefault="005620DA" w:rsidP="00806A62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5620DA">
              <w:rPr>
                <w:b/>
                <w:sz w:val="24"/>
                <w:szCs w:val="24"/>
              </w:rPr>
              <w:t>201</w:t>
            </w:r>
            <w:r w:rsidR="00806A6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bottom"/>
          </w:tcPr>
          <w:p w:rsidR="005620DA" w:rsidRPr="005620DA" w:rsidRDefault="005620DA" w:rsidP="00806A62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5620DA">
              <w:rPr>
                <w:b/>
                <w:sz w:val="24"/>
                <w:szCs w:val="24"/>
              </w:rPr>
              <w:t>201</w:t>
            </w:r>
            <w:r w:rsidR="00806A62">
              <w:rPr>
                <w:b/>
                <w:sz w:val="24"/>
                <w:szCs w:val="24"/>
              </w:rPr>
              <w:t>6</w:t>
            </w:r>
          </w:p>
        </w:tc>
      </w:tr>
      <w:tr w:rsidR="005620DA" w:rsidRPr="005620DA" w:rsidTr="00C86DFF">
        <w:tc>
          <w:tcPr>
            <w:tcW w:w="2802" w:type="dxa"/>
          </w:tcPr>
          <w:p w:rsidR="005620DA" w:rsidRPr="005620DA" w:rsidRDefault="005620DA" w:rsidP="006B1E9D">
            <w:pPr>
              <w:spacing w:before="120" w:after="120" w:line="360" w:lineRule="auto"/>
              <w:jc w:val="both"/>
              <w:rPr>
                <w:b/>
                <w:sz w:val="24"/>
                <w:szCs w:val="24"/>
              </w:rPr>
            </w:pPr>
            <w:r w:rsidRPr="005620DA">
              <w:rPr>
                <w:b/>
                <w:sz w:val="24"/>
                <w:szCs w:val="24"/>
              </w:rPr>
              <w:lastRenderedPageBreak/>
              <w:t>+1% no PIB 201</w:t>
            </w:r>
            <w:r w:rsidR="006B1E9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bottom"/>
          </w:tcPr>
          <w:p w:rsidR="005620DA" w:rsidRPr="005620DA" w:rsidRDefault="006B1E9D" w:rsidP="005620DA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+2,30</w:t>
            </w:r>
            <w:r w:rsidR="005620DA" w:rsidRPr="005620DA">
              <w:rPr>
                <w:sz w:val="24"/>
                <w:szCs w:val="24"/>
              </w:rPr>
              <w:t>%</w:t>
            </w:r>
          </w:p>
        </w:tc>
        <w:tc>
          <w:tcPr>
            <w:tcW w:w="2268" w:type="dxa"/>
            <w:vAlign w:val="bottom"/>
          </w:tcPr>
          <w:p w:rsidR="005620DA" w:rsidRPr="005620DA" w:rsidRDefault="005620DA" w:rsidP="006B1E9D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5620DA">
              <w:rPr>
                <w:sz w:val="24"/>
                <w:szCs w:val="24"/>
              </w:rPr>
              <w:t>+</w:t>
            </w:r>
            <w:r w:rsidR="006B1E9D">
              <w:rPr>
                <w:sz w:val="24"/>
                <w:szCs w:val="24"/>
              </w:rPr>
              <w:t>3,32</w:t>
            </w:r>
            <w:r w:rsidRPr="005620DA">
              <w:rPr>
                <w:sz w:val="24"/>
                <w:szCs w:val="24"/>
              </w:rPr>
              <w:t>%</w:t>
            </w:r>
          </w:p>
        </w:tc>
        <w:tc>
          <w:tcPr>
            <w:tcW w:w="2268" w:type="dxa"/>
            <w:vAlign w:val="bottom"/>
          </w:tcPr>
          <w:p w:rsidR="005620DA" w:rsidRPr="005620DA" w:rsidRDefault="005620DA" w:rsidP="006B1E9D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5620DA">
              <w:rPr>
                <w:sz w:val="24"/>
                <w:szCs w:val="24"/>
              </w:rPr>
              <w:t>+</w:t>
            </w:r>
            <w:r w:rsidR="006B1E9D">
              <w:rPr>
                <w:sz w:val="24"/>
                <w:szCs w:val="24"/>
              </w:rPr>
              <w:t>4,44</w:t>
            </w:r>
            <w:r w:rsidRPr="005620DA">
              <w:rPr>
                <w:sz w:val="24"/>
                <w:szCs w:val="24"/>
              </w:rPr>
              <w:t>%</w:t>
            </w:r>
          </w:p>
        </w:tc>
      </w:tr>
      <w:tr w:rsidR="005620DA" w:rsidRPr="005620DA" w:rsidTr="00C86DFF">
        <w:tc>
          <w:tcPr>
            <w:tcW w:w="2802" w:type="dxa"/>
          </w:tcPr>
          <w:p w:rsidR="005620DA" w:rsidRPr="005620DA" w:rsidRDefault="005620DA" w:rsidP="005620DA">
            <w:pPr>
              <w:spacing w:before="120" w:after="120" w:line="360" w:lineRule="auto"/>
              <w:jc w:val="both"/>
              <w:rPr>
                <w:b/>
                <w:sz w:val="24"/>
                <w:szCs w:val="24"/>
              </w:rPr>
            </w:pPr>
            <w:r w:rsidRPr="005620DA">
              <w:rPr>
                <w:b/>
                <w:sz w:val="24"/>
                <w:szCs w:val="24"/>
              </w:rPr>
              <w:t xml:space="preserve">Expectativa </w:t>
            </w:r>
            <w:proofErr w:type="gramStart"/>
            <w:r w:rsidRPr="005620DA">
              <w:rPr>
                <w:b/>
                <w:sz w:val="24"/>
                <w:szCs w:val="24"/>
              </w:rPr>
              <w:t>PIB(</w:t>
            </w:r>
            <w:proofErr w:type="gramEnd"/>
            <w:r w:rsidRPr="005620DA">
              <w:rPr>
                <w:b/>
                <w:sz w:val="24"/>
                <w:szCs w:val="24"/>
              </w:rPr>
              <w:t>*)</w:t>
            </w:r>
          </w:p>
        </w:tc>
        <w:tc>
          <w:tcPr>
            <w:tcW w:w="2409" w:type="dxa"/>
            <w:vAlign w:val="bottom"/>
          </w:tcPr>
          <w:p w:rsidR="005620DA" w:rsidRPr="005620DA" w:rsidRDefault="006B1E9D" w:rsidP="005620DA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3,55</w:t>
            </w:r>
            <w:r w:rsidR="005620DA" w:rsidRPr="005620DA">
              <w:rPr>
                <w:sz w:val="24"/>
                <w:szCs w:val="24"/>
              </w:rPr>
              <w:t>%</w:t>
            </w:r>
          </w:p>
        </w:tc>
        <w:tc>
          <w:tcPr>
            <w:tcW w:w="2268" w:type="dxa"/>
            <w:vAlign w:val="bottom"/>
          </w:tcPr>
          <w:p w:rsidR="005620DA" w:rsidRPr="005620DA" w:rsidRDefault="006B1E9D" w:rsidP="005620DA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3,69</w:t>
            </w:r>
            <w:r w:rsidR="005620DA" w:rsidRPr="005620DA">
              <w:rPr>
                <w:sz w:val="24"/>
                <w:szCs w:val="24"/>
              </w:rPr>
              <w:t>%</w:t>
            </w:r>
          </w:p>
        </w:tc>
        <w:tc>
          <w:tcPr>
            <w:tcW w:w="2268" w:type="dxa"/>
            <w:vAlign w:val="bottom"/>
          </w:tcPr>
          <w:p w:rsidR="005620DA" w:rsidRPr="005620DA" w:rsidRDefault="006B1E9D" w:rsidP="005620DA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3,73</w:t>
            </w:r>
            <w:r w:rsidR="005620DA" w:rsidRPr="005620DA">
              <w:rPr>
                <w:sz w:val="24"/>
                <w:szCs w:val="24"/>
              </w:rPr>
              <w:t>%</w:t>
            </w:r>
          </w:p>
        </w:tc>
      </w:tr>
      <w:tr w:rsidR="005620DA" w:rsidRPr="005620DA" w:rsidTr="00C86DFF">
        <w:tc>
          <w:tcPr>
            <w:tcW w:w="2802" w:type="dxa"/>
          </w:tcPr>
          <w:p w:rsidR="005620DA" w:rsidRPr="005620DA" w:rsidRDefault="005620DA" w:rsidP="006B1E9D">
            <w:pPr>
              <w:spacing w:before="120" w:after="120" w:line="360" w:lineRule="auto"/>
              <w:jc w:val="both"/>
              <w:rPr>
                <w:b/>
                <w:sz w:val="24"/>
                <w:szCs w:val="24"/>
              </w:rPr>
            </w:pPr>
            <w:r w:rsidRPr="005620DA">
              <w:rPr>
                <w:b/>
                <w:sz w:val="24"/>
                <w:szCs w:val="24"/>
              </w:rPr>
              <w:t>-1% no PIB 201</w:t>
            </w:r>
            <w:r w:rsidR="006B1E9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bottom"/>
          </w:tcPr>
          <w:p w:rsidR="005620DA" w:rsidRPr="005620DA" w:rsidRDefault="006B1E9D" w:rsidP="005620DA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-2,28</w:t>
            </w:r>
            <w:r w:rsidR="005620DA" w:rsidRPr="005620DA">
              <w:rPr>
                <w:sz w:val="24"/>
                <w:szCs w:val="24"/>
              </w:rPr>
              <w:t>%</w:t>
            </w:r>
          </w:p>
        </w:tc>
        <w:tc>
          <w:tcPr>
            <w:tcW w:w="2268" w:type="dxa"/>
            <w:vAlign w:val="bottom"/>
          </w:tcPr>
          <w:p w:rsidR="005620DA" w:rsidRPr="005620DA" w:rsidRDefault="006B1E9D" w:rsidP="005620DA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-3,26</w:t>
            </w:r>
            <w:r w:rsidR="005620DA" w:rsidRPr="005620DA">
              <w:rPr>
                <w:sz w:val="24"/>
                <w:szCs w:val="24"/>
              </w:rPr>
              <w:t>%</w:t>
            </w:r>
          </w:p>
        </w:tc>
        <w:tc>
          <w:tcPr>
            <w:tcW w:w="2268" w:type="dxa"/>
            <w:vAlign w:val="bottom"/>
          </w:tcPr>
          <w:p w:rsidR="005620DA" w:rsidRPr="005620DA" w:rsidRDefault="005620DA" w:rsidP="006B1E9D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5620DA">
              <w:rPr>
                <w:sz w:val="24"/>
                <w:szCs w:val="24"/>
              </w:rPr>
              <w:t>-</w:t>
            </w:r>
            <w:r w:rsidR="006B1E9D">
              <w:rPr>
                <w:sz w:val="24"/>
                <w:szCs w:val="24"/>
              </w:rPr>
              <w:t>4,32</w:t>
            </w:r>
            <w:r w:rsidRPr="005620DA">
              <w:rPr>
                <w:sz w:val="24"/>
                <w:szCs w:val="24"/>
              </w:rPr>
              <w:t>%</w:t>
            </w:r>
          </w:p>
        </w:tc>
      </w:tr>
    </w:tbl>
    <w:p w:rsidR="005620DA" w:rsidRDefault="005620DA" w:rsidP="00604EA6">
      <w:pPr>
        <w:spacing w:line="360" w:lineRule="auto"/>
        <w:jc w:val="both"/>
        <w:rPr>
          <w:sz w:val="24"/>
          <w:szCs w:val="24"/>
        </w:rPr>
      </w:pPr>
      <w:r w:rsidRPr="005620DA">
        <w:rPr>
          <w:sz w:val="24"/>
          <w:szCs w:val="24"/>
        </w:rPr>
        <w:t>(*</w:t>
      </w:r>
      <w:proofErr w:type="gramStart"/>
      <w:r w:rsidRPr="005620DA">
        <w:rPr>
          <w:sz w:val="24"/>
          <w:szCs w:val="24"/>
        </w:rPr>
        <w:t>)Pesquisa</w:t>
      </w:r>
      <w:proofErr w:type="gramEnd"/>
      <w:r w:rsidRPr="005620DA">
        <w:rPr>
          <w:sz w:val="24"/>
          <w:szCs w:val="24"/>
        </w:rPr>
        <w:t xml:space="preserve"> </w:t>
      </w:r>
      <w:proofErr w:type="spellStart"/>
      <w:r w:rsidRPr="005620DA">
        <w:rPr>
          <w:sz w:val="24"/>
          <w:szCs w:val="24"/>
        </w:rPr>
        <w:t>Focus</w:t>
      </w:r>
      <w:proofErr w:type="spellEnd"/>
      <w:r w:rsidRPr="005620DA">
        <w:rPr>
          <w:sz w:val="24"/>
          <w:szCs w:val="24"/>
        </w:rPr>
        <w:t xml:space="preserve"> do BACEN em </w:t>
      </w:r>
      <w:r w:rsidR="006B1E9D">
        <w:rPr>
          <w:sz w:val="24"/>
          <w:szCs w:val="24"/>
        </w:rPr>
        <w:t>22/03/2013</w:t>
      </w:r>
      <w:r w:rsidRPr="005620DA">
        <w:rPr>
          <w:sz w:val="24"/>
          <w:szCs w:val="24"/>
        </w:rPr>
        <w:t>.</w:t>
      </w:r>
    </w:p>
    <w:p w:rsidR="00604EA6" w:rsidRPr="005620DA" w:rsidRDefault="00604EA6" w:rsidP="00604EA6">
      <w:pPr>
        <w:spacing w:line="360" w:lineRule="auto"/>
        <w:jc w:val="both"/>
        <w:rPr>
          <w:sz w:val="24"/>
          <w:szCs w:val="24"/>
        </w:rPr>
      </w:pPr>
    </w:p>
    <w:p w:rsidR="005620DA" w:rsidRPr="005620DA" w:rsidRDefault="005620DA" w:rsidP="00C86DFF">
      <w:pPr>
        <w:spacing w:before="120" w:after="120" w:line="360" w:lineRule="auto"/>
        <w:ind w:firstLine="1416"/>
        <w:jc w:val="center"/>
        <w:rPr>
          <w:b/>
          <w:sz w:val="24"/>
          <w:szCs w:val="24"/>
        </w:rPr>
      </w:pPr>
      <w:r w:rsidRPr="005620DA">
        <w:rPr>
          <w:b/>
          <w:sz w:val="24"/>
          <w:szCs w:val="24"/>
        </w:rPr>
        <w:t>Variações na Receita do ISS X Variações no PIB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2409"/>
        <w:gridCol w:w="2268"/>
        <w:gridCol w:w="2268"/>
      </w:tblGrid>
      <w:tr w:rsidR="005620DA" w:rsidRPr="005620DA" w:rsidTr="00C86DFF">
        <w:tc>
          <w:tcPr>
            <w:tcW w:w="2802" w:type="dxa"/>
          </w:tcPr>
          <w:p w:rsidR="005620DA" w:rsidRPr="005620DA" w:rsidRDefault="005620DA" w:rsidP="005620DA">
            <w:pPr>
              <w:spacing w:before="120" w:after="120" w:line="360" w:lineRule="auto"/>
              <w:ind w:firstLine="1416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620DA" w:rsidRPr="005620DA" w:rsidRDefault="005620DA" w:rsidP="00806A62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5620DA">
              <w:rPr>
                <w:b/>
                <w:sz w:val="24"/>
                <w:szCs w:val="24"/>
              </w:rPr>
              <w:t>201</w:t>
            </w:r>
            <w:r w:rsidR="00806A6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5620DA" w:rsidRPr="005620DA" w:rsidRDefault="005620DA" w:rsidP="00806A62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5620DA">
              <w:rPr>
                <w:b/>
                <w:sz w:val="24"/>
                <w:szCs w:val="24"/>
              </w:rPr>
              <w:t>201</w:t>
            </w:r>
            <w:r w:rsidR="00806A6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bottom"/>
          </w:tcPr>
          <w:p w:rsidR="005620DA" w:rsidRPr="005620DA" w:rsidRDefault="005620DA" w:rsidP="00806A62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5620DA">
              <w:rPr>
                <w:b/>
                <w:sz w:val="24"/>
                <w:szCs w:val="24"/>
              </w:rPr>
              <w:t>201</w:t>
            </w:r>
            <w:r w:rsidR="00806A62">
              <w:rPr>
                <w:b/>
                <w:sz w:val="24"/>
                <w:szCs w:val="24"/>
              </w:rPr>
              <w:t>6</w:t>
            </w:r>
          </w:p>
        </w:tc>
      </w:tr>
      <w:tr w:rsidR="005620DA" w:rsidRPr="005620DA" w:rsidTr="00C86DFF">
        <w:tc>
          <w:tcPr>
            <w:tcW w:w="2802" w:type="dxa"/>
          </w:tcPr>
          <w:p w:rsidR="005620DA" w:rsidRPr="005620DA" w:rsidRDefault="005620DA" w:rsidP="005620DA">
            <w:pPr>
              <w:spacing w:before="120" w:after="120" w:line="360" w:lineRule="auto"/>
              <w:jc w:val="both"/>
              <w:rPr>
                <w:b/>
                <w:sz w:val="24"/>
                <w:szCs w:val="24"/>
              </w:rPr>
            </w:pPr>
            <w:r w:rsidRPr="005620DA">
              <w:rPr>
                <w:b/>
                <w:sz w:val="24"/>
                <w:szCs w:val="24"/>
              </w:rPr>
              <w:t>+1% no PIB 2013</w:t>
            </w:r>
          </w:p>
        </w:tc>
        <w:tc>
          <w:tcPr>
            <w:tcW w:w="2409" w:type="dxa"/>
            <w:vAlign w:val="bottom"/>
          </w:tcPr>
          <w:p w:rsidR="005620DA" w:rsidRPr="005620DA" w:rsidRDefault="005620DA" w:rsidP="00806A62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5620DA">
              <w:rPr>
                <w:sz w:val="24"/>
                <w:szCs w:val="24"/>
              </w:rPr>
              <w:t>+</w:t>
            </w:r>
            <w:r w:rsidR="00806A62">
              <w:rPr>
                <w:sz w:val="24"/>
                <w:szCs w:val="24"/>
              </w:rPr>
              <w:t>1,74</w:t>
            </w:r>
            <w:r w:rsidRPr="005620DA">
              <w:rPr>
                <w:sz w:val="24"/>
                <w:szCs w:val="24"/>
              </w:rPr>
              <w:t>%</w:t>
            </w:r>
          </w:p>
        </w:tc>
        <w:tc>
          <w:tcPr>
            <w:tcW w:w="2268" w:type="dxa"/>
            <w:vAlign w:val="bottom"/>
          </w:tcPr>
          <w:p w:rsidR="005620DA" w:rsidRPr="005620DA" w:rsidRDefault="005620DA" w:rsidP="00806A62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5620DA">
              <w:rPr>
                <w:sz w:val="24"/>
                <w:szCs w:val="24"/>
              </w:rPr>
              <w:t>+</w:t>
            </w:r>
            <w:r w:rsidR="00806A62">
              <w:rPr>
                <w:sz w:val="24"/>
                <w:szCs w:val="24"/>
              </w:rPr>
              <w:t>2,64</w:t>
            </w:r>
            <w:r w:rsidRPr="005620DA">
              <w:rPr>
                <w:sz w:val="24"/>
                <w:szCs w:val="24"/>
              </w:rPr>
              <w:t>%</w:t>
            </w:r>
          </w:p>
        </w:tc>
        <w:tc>
          <w:tcPr>
            <w:tcW w:w="2268" w:type="dxa"/>
            <w:vAlign w:val="bottom"/>
          </w:tcPr>
          <w:p w:rsidR="005620DA" w:rsidRPr="005620DA" w:rsidRDefault="00806A62" w:rsidP="005620DA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+3,57</w:t>
            </w:r>
            <w:r w:rsidR="005620DA" w:rsidRPr="005620DA">
              <w:rPr>
                <w:sz w:val="24"/>
                <w:szCs w:val="24"/>
              </w:rPr>
              <w:t>%</w:t>
            </w:r>
          </w:p>
        </w:tc>
      </w:tr>
      <w:tr w:rsidR="005620DA" w:rsidRPr="005620DA" w:rsidTr="00C86DFF">
        <w:tc>
          <w:tcPr>
            <w:tcW w:w="2802" w:type="dxa"/>
          </w:tcPr>
          <w:p w:rsidR="005620DA" w:rsidRPr="005620DA" w:rsidRDefault="005620DA" w:rsidP="005620DA">
            <w:pPr>
              <w:spacing w:before="120" w:after="120" w:line="360" w:lineRule="auto"/>
              <w:jc w:val="both"/>
              <w:rPr>
                <w:b/>
                <w:sz w:val="24"/>
                <w:szCs w:val="24"/>
              </w:rPr>
            </w:pPr>
            <w:r w:rsidRPr="005620DA">
              <w:rPr>
                <w:b/>
                <w:sz w:val="24"/>
                <w:szCs w:val="24"/>
              </w:rPr>
              <w:t xml:space="preserve">Expectativa </w:t>
            </w:r>
            <w:proofErr w:type="gramStart"/>
            <w:r w:rsidRPr="005620DA">
              <w:rPr>
                <w:b/>
                <w:sz w:val="24"/>
                <w:szCs w:val="24"/>
              </w:rPr>
              <w:t>PIB(</w:t>
            </w:r>
            <w:proofErr w:type="gramEnd"/>
            <w:r w:rsidRPr="005620DA">
              <w:rPr>
                <w:b/>
                <w:sz w:val="24"/>
                <w:szCs w:val="24"/>
              </w:rPr>
              <w:t>*)</w:t>
            </w:r>
          </w:p>
        </w:tc>
        <w:tc>
          <w:tcPr>
            <w:tcW w:w="2409" w:type="dxa"/>
            <w:vAlign w:val="bottom"/>
          </w:tcPr>
          <w:p w:rsidR="005620DA" w:rsidRPr="005620DA" w:rsidRDefault="00806A62" w:rsidP="005620DA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3,55</w:t>
            </w:r>
            <w:r w:rsidR="005620DA" w:rsidRPr="005620DA">
              <w:rPr>
                <w:sz w:val="24"/>
                <w:szCs w:val="24"/>
              </w:rPr>
              <w:t>%</w:t>
            </w:r>
          </w:p>
        </w:tc>
        <w:tc>
          <w:tcPr>
            <w:tcW w:w="2268" w:type="dxa"/>
            <w:vAlign w:val="bottom"/>
          </w:tcPr>
          <w:p w:rsidR="005620DA" w:rsidRPr="005620DA" w:rsidRDefault="00806A62" w:rsidP="005620DA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3,69</w:t>
            </w:r>
            <w:r w:rsidR="005620DA" w:rsidRPr="005620DA">
              <w:rPr>
                <w:sz w:val="24"/>
                <w:szCs w:val="24"/>
              </w:rPr>
              <w:t>%</w:t>
            </w:r>
          </w:p>
        </w:tc>
        <w:tc>
          <w:tcPr>
            <w:tcW w:w="2268" w:type="dxa"/>
            <w:vAlign w:val="bottom"/>
          </w:tcPr>
          <w:p w:rsidR="005620DA" w:rsidRPr="005620DA" w:rsidRDefault="00806A62" w:rsidP="005620DA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3,73</w:t>
            </w:r>
            <w:r w:rsidR="005620DA" w:rsidRPr="005620DA">
              <w:rPr>
                <w:sz w:val="24"/>
                <w:szCs w:val="24"/>
              </w:rPr>
              <w:t>%</w:t>
            </w:r>
          </w:p>
        </w:tc>
      </w:tr>
      <w:tr w:rsidR="005620DA" w:rsidRPr="005620DA" w:rsidTr="00C86DFF">
        <w:tc>
          <w:tcPr>
            <w:tcW w:w="2802" w:type="dxa"/>
          </w:tcPr>
          <w:p w:rsidR="005620DA" w:rsidRPr="005620DA" w:rsidRDefault="005620DA" w:rsidP="005620DA">
            <w:pPr>
              <w:spacing w:before="120" w:after="120" w:line="360" w:lineRule="auto"/>
              <w:jc w:val="both"/>
              <w:rPr>
                <w:b/>
                <w:sz w:val="24"/>
                <w:szCs w:val="24"/>
              </w:rPr>
            </w:pPr>
            <w:r w:rsidRPr="005620DA">
              <w:rPr>
                <w:b/>
                <w:sz w:val="24"/>
                <w:szCs w:val="24"/>
              </w:rPr>
              <w:t>-1% no PIB 2013</w:t>
            </w:r>
          </w:p>
        </w:tc>
        <w:tc>
          <w:tcPr>
            <w:tcW w:w="2409" w:type="dxa"/>
            <w:vAlign w:val="bottom"/>
          </w:tcPr>
          <w:p w:rsidR="005620DA" w:rsidRPr="005620DA" w:rsidRDefault="00806A62" w:rsidP="005620DA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-1,72</w:t>
            </w:r>
            <w:r w:rsidR="005620DA" w:rsidRPr="005620DA">
              <w:rPr>
                <w:sz w:val="24"/>
                <w:szCs w:val="24"/>
              </w:rPr>
              <w:t>%</w:t>
            </w:r>
          </w:p>
        </w:tc>
        <w:tc>
          <w:tcPr>
            <w:tcW w:w="2268" w:type="dxa"/>
            <w:vAlign w:val="bottom"/>
          </w:tcPr>
          <w:p w:rsidR="005620DA" w:rsidRPr="005620DA" w:rsidRDefault="00806A62" w:rsidP="005620DA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-2,59</w:t>
            </w:r>
            <w:r w:rsidR="005620DA" w:rsidRPr="005620DA">
              <w:rPr>
                <w:sz w:val="24"/>
                <w:szCs w:val="24"/>
              </w:rPr>
              <w:t>%</w:t>
            </w:r>
          </w:p>
        </w:tc>
        <w:tc>
          <w:tcPr>
            <w:tcW w:w="2268" w:type="dxa"/>
            <w:vAlign w:val="bottom"/>
          </w:tcPr>
          <w:p w:rsidR="005620DA" w:rsidRPr="005620DA" w:rsidRDefault="00806A62" w:rsidP="005620DA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-3,47</w:t>
            </w:r>
            <w:r w:rsidR="005620DA" w:rsidRPr="005620DA">
              <w:rPr>
                <w:sz w:val="24"/>
                <w:szCs w:val="24"/>
              </w:rPr>
              <w:t>%</w:t>
            </w:r>
          </w:p>
        </w:tc>
      </w:tr>
    </w:tbl>
    <w:p w:rsidR="005620DA" w:rsidRDefault="005620DA" w:rsidP="00604EA6">
      <w:pPr>
        <w:spacing w:line="360" w:lineRule="auto"/>
        <w:jc w:val="both"/>
        <w:rPr>
          <w:sz w:val="24"/>
          <w:szCs w:val="24"/>
        </w:rPr>
      </w:pPr>
      <w:r w:rsidRPr="005620DA">
        <w:rPr>
          <w:sz w:val="24"/>
          <w:szCs w:val="24"/>
        </w:rPr>
        <w:t>(*</w:t>
      </w:r>
      <w:proofErr w:type="gramStart"/>
      <w:r w:rsidRPr="005620DA">
        <w:rPr>
          <w:sz w:val="24"/>
          <w:szCs w:val="24"/>
        </w:rPr>
        <w:t>)Pesquisa</w:t>
      </w:r>
      <w:proofErr w:type="gramEnd"/>
      <w:r w:rsidRPr="005620DA">
        <w:rPr>
          <w:sz w:val="24"/>
          <w:szCs w:val="24"/>
        </w:rPr>
        <w:t xml:space="preserve"> </w:t>
      </w:r>
      <w:proofErr w:type="spellStart"/>
      <w:r w:rsidRPr="005620DA">
        <w:rPr>
          <w:sz w:val="24"/>
          <w:szCs w:val="24"/>
        </w:rPr>
        <w:t>Focus</w:t>
      </w:r>
      <w:proofErr w:type="spellEnd"/>
      <w:r w:rsidRPr="005620DA">
        <w:rPr>
          <w:sz w:val="24"/>
          <w:szCs w:val="24"/>
        </w:rPr>
        <w:t xml:space="preserve"> do BACEN em </w:t>
      </w:r>
      <w:r w:rsidR="00806A62">
        <w:rPr>
          <w:sz w:val="24"/>
          <w:szCs w:val="24"/>
        </w:rPr>
        <w:t>22/03/2013</w:t>
      </w:r>
      <w:r w:rsidRPr="005620DA">
        <w:rPr>
          <w:sz w:val="24"/>
          <w:szCs w:val="24"/>
        </w:rPr>
        <w:t>.</w:t>
      </w:r>
    </w:p>
    <w:p w:rsidR="00604EA6" w:rsidRPr="005620DA" w:rsidRDefault="00604EA6" w:rsidP="00604EA6">
      <w:pPr>
        <w:spacing w:line="360" w:lineRule="auto"/>
        <w:jc w:val="both"/>
        <w:rPr>
          <w:sz w:val="24"/>
          <w:szCs w:val="24"/>
        </w:rPr>
      </w:pPr>
    </w:p>
    <w:p w:rsidR="005620DA" w:rsidRDefault="005620DA" w:rsidP="005620DA">
      <w:pPr>
        <w:spacing w:before="120" w:after="120" w:line="360" w:lineRule="auto"/>
        <w:ind w:firstLine="1416"/>
        <w:jc w:val="both"/>
        <w:rPr>
          <w:sz w:val="24"/>
          <w:szCs w:val="24"/>
        </w:rPr>
      </w:pPr>
      <w:r w:rsidRPr="005620DA">
        <w:rPr>
          <w:sz w:val="24"/>
          <w:szCs w:val="24"/>
        </w:rPr>
        <w:t xml:space="preserve">Ainda com relação à receita prevista para o ICMS, </w:t>
      </w:r>
      <w:r w:rsidR="00F66A08">
        <w:rPr>
          <w:sz w:val="24"/>
          <w:szCs w:val="24"/>
        </w:rPr>
        <w:t>pode ser levado em consideração o impacto da aprovação de Resolução do Senado Federal que estabeleça a redução de alíquotas inte</w:t>
      </w:r>
      <w:r w:rsidR="00604EA6">
        <w:rPr>
          <w:sz w:val="24"/>
          <w:szCs w:val="24"/>
        </w:rPr>
        <w:t>restaduais do ICMS, contida no a</w:t>
      </w:r>
      <w:r w:rsidR="00F66A08">
        <w:rPr>
          <w:sz w:val="24"/>
          <w:szCs w:val="24"/>
        </w:rPr>
        <w:t>rt. 8º,</w:t>
      </w:r>
      <w:r w:rsidR="00604EA6">
        <w:rPr>
          <w:sz w:val="24"/>
          <w:szCs w:val="24"/>
        </w:rPr>
        <w:t xml:space="preserve"> </w:t>
      </w:r>
      <w:r w:rsidR="00F66A08">
        <w:rPr>
          <w:sz w:val="24"/>
          <w:szCs w:val="24"/>
        </w:rPr>
        <w:t xml:space="preserve">§ 3°, incisos I e II, da MP 599/2012. Neste caso, conforme Nota Técnica n° 01/2013 – COPAF/SUREC, </w:t>
      </w:r>
      <w:proofErr w:type="gramStart"/>
      <w:r w:rsidR="00F66A08">
        <w:rPr>
          <w:sz w:val="24"/>
          <w:szCs w:val="24"/>
        </w:rPr>
        <w:t>haveria ganho</w:t>
      </w:r>
      <w:proofErr w:type="gramEnd"/>
      <w:r w:rsidR="00F66A08">
        <w:rPr>
          <w:sz w:val="24"/>
          <w:szCs w:val="24"/>
        </w:rPr>
        <w:t xml:space="preserve"> de receita do ICMS conforme quadro abaixo:</w:t>
      </w:r>
    </w:p>
    <w:p w:rsidR="00F66A08" w:rsidRPr="00F66A08" w:rsidRDefault="00F66A08" w:rsidP="00F66A08">
      <w:pPr>
        <w:spacing w:before="120" w:after="120" w:line="360" w:lineRule="auto"/>
        <w:jc w:val="center"/>
        <w:rPr>
          <w:b/>
          <w:sz w:val="24"/>
          <w:szCs w:val="24"/>
        </w:rPr>
      </w:pPr>
      <w:r w:rsidRPr="00F66A08">
        <w:rPr>
          <w:b/>
          <w:sz w:val="24"/>
          <w:szCs w:val="24"/>
        </w:rPr>
        <w:t>Variações na Receita do ICMS decorrente da alteração de alíquotas interestaduais previstas na MP 599/2012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2409"/>
        <w:gridCol w:w="2268"/>
        <w:gridCol w:w="2268"/>
      </w:tblGrid>
      <w:tr w:rsidR="00F66A08" w:rsidRPr="00650F99" w:rsidTr="00C86DFF">
        <w:tc>
          <w:tcPr>
            <w:tcW w:w="2802" w:type="dxa"/>
          </w:tcPr>
          <w:p w:rsidR="00F66A08" w:rsidRPr="00650F99" w:rsidRDefault="00F66A08" w:rsidP="00650F99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650F99">
              <w:rPr>
                <w:sz w:val="24"/>
                <w:szCs w:val="24"/>
              </w:rPr>
              <w:t>Cenário</w:t>
            </w:r>
          </w:p>
        </w:tc>
        <w:tc>
          <w:tcPr>
            <w:tcW w:w="2409" w:type="dxa"/>
            <w:vAlign w:val="bottom"/>
          </w:tcPr>
          <w:p w:rsidR="00F66A08" w:rsidRPr="00650F99" w:rsidRDefault="00F66A08" w:rsidP="00650F99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650F99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2268" w:type="dxa"/>
            <w:vAlign w:val="bottom"/>
          </w:tcPr>
          <w:p w:rsidR="00F66A08" w:rsidRPr="00650F99" w:rsidRDefault="00F66A08" w:rsidP="00650F99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650F99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2268" w:type="dxa"/>
            <w:vAlign w:val="bottom"/>
          </w:tcPr>
          <w:p w:rsidR="00F66A08" w:rsidRPr="00650F99" w:rsidRDefault="00F66A08" w:rsidP="00650F99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650F99">
              <w:rPr>
                <w:b/>
                <w:sz w:val="24"/>
                <w:szCs w:val="24"/>
              </w:rPr>
              <w:t>2016</w:t>
            </w:r>
          </w:p>
        </w:tc>
      </w:tr>
      <w:tr w:rsidR="00F66A08" w:rsidRPr="00650F99" w:rsidTr="00C86DFF">
        <w:tc>
          <w:tcPr>
            <w:tcW w:w="2802" w:type="dxa"/>
          </w:tcPr>
          <w:p w:rsidR="00F66A08" w:rsidRPr="00650F99" w:rsidRDefault="00F66A08" w:rsidP="00650F99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650F99">
              <w:rPr>
                <w:sz w:val="24"/>
                <w:szCs w:val="24"/>
              </w:rPr>
              <w:t>Variação das alíquotas interestaduais</w:t>
            </w:r>
            <w:r w:rsidR="00604EA6">
              <w:rPr>
                <w:sz w:val="24"/>
                <w:szCs w:val="24"/>
              </w:rPr>
              <w:t xml:space="preserve"> </w:t>
            </w:r>
            <w:r w:rsidRPr="00650F99">
              <w:rPr>
                <w:sz w:val="24"/>
                <w:szCs w:val="24"/>
              </w:rPr>
              <w:t>(*)</w:t>
            </w:r>
          </w:p>
        </w:tc>
        <w:tc>
          <w:tcPr>
            <w:tcW w:w="2409" w:type="dxa"/>
            <w:vAlign w:val="center"/>
          </w:tcPr>
          <w:p w:rsidR="00F66A08" w:rsidRPr="00650F99" w:rsidRDefault="00F66A08" w:rsidP="00650F99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650F99">
              <w:rPr>
                <w:sz w:val="24"/>
                <w:szCs w:val="24"/>
              </w:rPr>
              <w:t>+2,30%</w:t>
            </w:r>
          </w:p>
        </w:tc>
        <w:tc>
          <w:tcPr>
            <w:tcW w:w="2268" w:type="dxa"/>
            <w:vAlign w:val="center"/>
          </w:tcPr>
          <w:p w:rsidR="00F66A08" w:rsidRPr="00650F99" w:rsidRDefault="00F66A08" w:rsidP="00650F99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650F99">
              <w:rPr>
                <w:sz w:val="24"/>
                <w:szCs w:val="24"/>
              </w:rPr>
              <w:t>+3,32%</w:t>
            </w:r>
          </w:p>
        </w:tc>
        <w:tc>
          <w:tcPr>
            <w:tcW w:w="2268" w:type="dxa"/>
            <w:vAlign w:val="center"/>
          </w:tcPr>
          <w:p w:rsidR="00F66A08" w:rsidRPr="00650F99" w:rsidRDefault="00F66A08" w:rsidP="00650F99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650F99">
              <w:rPr>
                <w:sz w:val="24"/>
                <w:szCs w:val="24"/>
              </w:rPr>
              <w:t>+4,44%</w:t>
            </w:r>
          </w:p>
        </w:tc>
      </w:tr>
    </w:tbl>
    <w:p w:rsidR="00F66A08" w:rsidRPr="00650F99" w:rsidRDefault="00F66A08" w:rsidP="00604EA6">
      <w:pPr>
        <w:spacing w:line="360" w:lineRule="auto"/>
        <w:jc w:val="both"/>
        <w:rPr>
          <w:sz w:val="24"/>
          <w:szCs w:val="24"/>
        </w:rPr>
      </w:pPr>
      <w:r w:rsidRPr="00650F99">
        <w:rPr>
          <w:sz w:val="24"/>
          <w:szCs w:val="24"/>
        </w:rPr>
        <w:t>(*)</w:t>
      </w:r>
      <w:r w:rsidR="00604EA6">
        <w:rPr>
          <w:sz w:val="24"/>
          <w:szCs w:val="24"/>
        </w:rPr>
        <w:t xml:space="preserve"> </w:t>
      </w:r>
      <w:r w:rsidRPr="00650F99">
        <w:rPr>
          <w:sz w:val="24"/>
          <w:szCs w:val="24"/>
        </w:rPr>
        <w:t>MP 599/2012, Art. 8°, § 3°, incs. I e</w:t>
      </w:r>
      <w:proofErr w:type="gramStart"/>
      <w:r w:rsidRPr="00650F99">
        <w:rPr>
          <w:sz w:val="24"/>
          <w:szCs w:val="24"/>
        </w:rPr>
        <w:t xml:space="preserve">  </w:t>
      </w:r>
      <w:proofErr w:type="gramEnd"/>
      <w:r w:rsidRPr="00650F99">
        <w:rPr>
          <w:sz w:val="24"/>
          <w:szCs w:val="24"/>
        </w:rPr>
        <w:t>II.</w:t>
      </w:r>
    </w:p>
    <w:p w:rsidR="00F66A08" w:rsidRPr="00650F99" w:rsidRDefault="00F66A08" w:rsidP="00650F99">
      <w:pPr>
        <w:spacing w:before="120" w:after="120" w:line="360" w:lineRule="auto"/>
        <w:ind w:firstLine="1416"/>
        <w:jc w:val="both"/>
        <w:rPr>
          <w:sz w:val="24"/>
          <w:szCs w:val="24"/>
        </w:rPr>
      </w:pPr>
    </w:p>
    <w:p w:rsidR="00F66A08" w:rsidRPr="00F66A08" w:rsidRDefault="00F66A08" w:rsidP="00650F99">
      <w:pPr>
        <w:spacing w:before="120" w:after="120" w:line="360" w:lineRule="auto"/>
        <w:ind w:firstLine="1416"/>
        <w:jc w:val="both"/>
        <w:rPr>
          <w:sz w:val="24"/>
          <w:szCs w:val="24"/>
        </w:rPr>
      </w:pPr>
      <w:r w:rsidRPr="00F66A08">
        <w:rPr>
          <w:sz w:val="24"/>
          <w:szCs w:val="24"/>
        </w:rPr>
        <w:t>Com base ainda na MP 599/2012, que instituiu Fundo de Desenvo</w:t>
      </w:r>
      <w:r w:rsidR="00604EA6">
        <w:rPr>
          <w:sz w:val="24"/>
          <w:szCs w:val="24"/>
        </w:rPr>
        <w:t>lvimento Regional – FDR, em seu a</w:t>
      </w:r>
      <w:r w:rsidRPr="00F66A08">
        <w:rPr>
          <w:sz w:val="24"/>
          <w:szCs w:val="24"/>
        </w:rPr>
        <w:t>rt. 9°, seriam ainda alocados recursos ao DF, calculados pela Comissão Técnica Permanente do Conselho Nacional de Política Fazendária - COTEPE/CONFAZ e ratificados pela Nota Técnica n° 01/2013 – COPAF/SUREC, apresentados na tabela abaixo.</w:t>
      </w:r>
    </w:p>
    <w:p w:rsidR="00BC4AF9" w:rsidRDefault="00BC4AF9" w:rsidP="00F66A08">
      <w:pPr>
        <w:ind w:left="360" w:firstLine="348"/>
        <w:jc w:val="center"/>
        <w:rPr>
          <w:sz w:val="24"/>
          <w:szCs w:val="24"/>
        </w:rPr>
      </w:pPr>
    </w:p>
    <w:p w:rsidR="00F66A08" w:rsidRPr="00BC4AF9" w:rsidRDefault="00F66A08" w:rsidP="00F66A08">
      <w:pPr>
        <w:ind w:left="360" w:firstLine="348"/>
        <w:jc w:val="center"/>
        <w:rPr>
          <w:b/>
          <w:sz w:val="24"/>
          <w:szCs w:val="24"/>
        </w:rPr>
      </w:pPr>
      <w:r w:rsidRPr="00BC4AF9">
        <w:rPr>
          <w:b/>
          <w:sz w:val="24"/>
          <w:szCs w:val="24"/>
        </w:rPr>
        <w:t xml:space="preserve">Variações no Total da Receita de Origem Tributária decorrente da </w:t>
      </w:r>
      <w:proofErr w:type="gramStart"/>
      <w:r w:rsidRPr="00BC4AF9">
        <w:rPr>
          <w:b/>
          <w:sz w:val="24"/>
          <w:szCs w:val="24"/>
        </w:rPr>
        <w:t>implementação</w:t>
      </w:r>
      <w:proofErr w:type="gramEnd"/>
      <w:r w:rsidRPr="00BC4AF9">
        <w:rPr>
          <w:b/>
          <w:sz w:val="24"/>
          <w:szCs w:val="24"/>
        </w:rPr>
        <w:t xml:space="preserve"> do Fundo de Desenvolvimento Regional</w:t>
      </w:r>
    </w:p>
    <w:p w:rsidR="00BC4AF9" w:rsidRPr="00BC4AF9" w:rsidRDefault="00BC4AF9" w:rsidP="00F66A08">
      <w:pPr>
        <w:ind w:left="360" w:firstLine="348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2409"/>
        <w:gridCol w:w="2268"/>
        <w:gridCol w:w="2268"/>
      </w:tblGrid>
      <w:tr w:rsidR="00F66A08" w:rsidRPr="00650F99" w:rsidTr="00C86DFF">
        <w:tc>
          <w:tcPr>
            <w:tcW w:w="2802" w:type="dxa"/>
          </w:tcPr>
          <w:p w:rsidR="00F66A08" w:rsidRPr="00650F99" w:rsidRDefault="00F66A08" w:rsidP="00650F99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650F99">
              <w:rPr>
                <w:sz w:val="24"/>
                <w:szCs w:val="24"/>
              </w:rPr>
              <w:t>Cenário</w:t>
            </w:r>
          </w:p>
        </w:tc>
        <w:tc>
          <w:tcPr>
            <w:tcW w:w="2409" w:type="dxa"/>
            <w:vAlign w:val="bottom"/>
          </w:tcPr>
          <w:p w:rsidR="00F66A08" w:rsidRPr="00650F99" w:rsidRDefault="00F66A08" w:rsidP="00650F99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650F99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2268" w:type="dxa"/>
            <w:vAlign w:val="bottom"/>
          </w:tcPr>
          <w:p w:rsidR="00F66A08" w:rsidRPr="00650F99" w:rsidRDefault="00F66A08" w:rsidP="00650F99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650F99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2268" w:type="dxa"/>
            <w:vAlign w:val="bottom"/>
          </w:tcPr>
          <w:p w:rsidR="00F66A08" w:rsidRPr="00650F99" w:rsidRDefault="00F66A08" w:rsidP="00650F99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650F99">
              <w:rPr>
                <w:b/>
                <w:sz w:val="24"/>
                <w:szCs w:val="24"/>
              </w:rPr>
              <w:t>2016</w:t>
            </w:r>
          </w:p>
        </w:tc>
      </w:tr>
      <w:tr w:rsidR="00F66A08" w:rsidRPr="00650F99" w:rsidTr="00C86DFF">
        <w:tc>
          <w:tcPr>
            <w:tcW w:w="2802" w:type="dxa"/>
          </w:tcPr>
          <w:p w:rsidR="00F66A08" w:rsidRPr="00650F99" w:rsidRDefault="00F66A08" w:rsidP="00650F99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650F99">
              <w:rPr>
                <w:sz w:val="24"/>
                <w:szCs w:val="24"/>
              </w:rPr>
              <w:t>FDR(</w:t>
            </w:r>
            <w:proofErr w:type="gramEnd"/>
            <w:r w:rsidRPr="00650F99">
              <w:rPr>
                <w:sz w:val="24"/>
                <w:szCs w:val="24"/>
              </w:rPr>
              <w:t>*)</w:t>
            </w:r>
          </w:p>
        </w:tc>
        <w:tc>
          <w:tcPr>
            <w:tcW w:w="2409" w:type="dxa"/>
            <w:vAlign w:val="center"/>
          </w:tcPr>
          <w:p w:rsidR="00F66A08" w:rsidRPr="00650F99" w:rsidRDefault="00F66A08" w:rsidP="00650F99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650F99">
              <w:rPr>
                <w:sz w:val="24"/>
                <w:szCs w:val="24"/>
              </w:rPr>
              <w:t>0,28%</w:t>
            </w:r>
          </w:p>
        </w:tc>
        <w:tc>
          <w:tcPr>
            <w:tcW w:w="2268" w:type="dxa"/>
            <w:vAlign w:val="center"/>
          </w:tcPr>
          <w:p w:rsidR="00F66A08" w:rsidRPr="00650F99" w:rsidRDefault="00F66A08" w:rsidP="00650F99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650F99">
              <w:rPr>
                <w:sz w:val="24"/>
                <w:szCs w:val="24"/>
              </w:rPr>
              <w:t>0,51%</w:t>
            </w:r>
          </w:p>
        </w:tc>
        <w:tc>
          <w:tcPr>
            <w:tcW w:w="2268" w:type="dxa"/>
            <w:vAlign w:val="center"/>
          </w:tcPr>
          <w:p w:rsidR="00F66A08" w:rsidRPr="00650F99" w:rsidRDefault="00F66A08" w:rsidP="00650F99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650F99">
              <w:rPr>
                <w:sz w:val="24"/>
                <w:szCs w:val="24"/>
              </w:rPr>
              <w:t>0,71%</w:t>
            </w:r>
          </w:p>
        </w:tc>
      </w:tr>
    </w:tbl>
    <w:p w:rsidR="00F66A08" w:rsidRPr="00604EA6" w:rsidRDefault="00F66A08" w:rsidP="00650F99">
      <w:pPr>
        <w:spacing w:before="120" w:after="120" w:line="360" w:lineRule="auto"/>
        <w:jc w:val="both"/>
        <w:rPr>
          <w:sz w:val="24"/>
          <w:szCs w:val="24"/>
          <w:lang w:val="en-US"/>
        </w:rPr>
      </w:pPr>
      <w:r w:rsidRPr="00604EA6">
        <w:rPr>
          <w:sz w:val="24"/>
          <w:szCs w:val="24"/>
          <w:lang w:val="en-US"/>
        </w:rPr>
        <w:t>(*)</w:t>
      </w:r>
      <w:proofErr w:type="gramStart"/>
      <w:r w:rsidRPr="00604EA6">
        <w:rPr>
          <w:sz w:val="24"/>
          <w:szCs w:val="24"/>
          <w:lang w:val="en-US"/>
        </w:rPr>
        <w:t xml:space="preserve">MP 599/2012, </w:t>
      </w:r>
      <w:r w:rsidR="00604EA6" w:rsidRPr="00604EA6">
        <w:rPr>
          <w:sz w:val="24"/>
          <w:szCs w:val="24"/>
          <w:lang w:val="en-US"/>
        </w:rPr>
        <w:t>a</w:t>
      </w:r>
      <w:r w:rsidRPr="00604EA6">
        <w:rPr>
          <w:sz w:val="24"/>
          <w:szCs w:val="24"/>
          <w:lang w:val="en-US"/>
        </w:rPr>
        <w:t>rt.</w:t>
      </w:r>
      <w:proofErr w:type="gramEnd"/>
      <w:r w:rsidRPr="00604EA6">
        <w:rPr>
          <w:sz w:val="24"/>
          <w:szCs w:val="24"/>
          <w:lang w:val="en-US"/>
        </w:rPr>
        <w:t xml:space="preserve"> </w:t>
      </w:r>
      <w:proofErr w:type="gramStart"/>
      <w:r w:rsidRPr="00604EA6">
        <w:rPr>
          <w:sz w:val="24"/>
          <w:szCs w:val="24"/>
          <w:lang w:val="en-US"/>
        </w:rPr>
        <w:t>13</w:t>
      </w:r>
      <w:r w:rsidR="00604EA6">
        <w:rPr>
          <w:sz w:val="24"/>
          <w:szCs w:val="24"/>
          <w:lang w:val="en-US"/>
        </w:rPr>
        <w:t xml:space="preserve">, </w:t>
      </w:r>
      <w:proofErr w:type="spellStart"/>
      <w:r w:rsidR="00604EA6">
        <w:rPr>
          <w:sz w:val="24"/>
          <w:szCs w:val="24"/>
          <w:lang w:val="en-US"/>
        </w:rPr>
        <w:t>A</w:t>
      </w:r>
      <w:r w:rsidRPr="00604EA6">
        <w:rPr>
          <w:sz w:val="24"/>
          <w:szCs w:val="24"/>
          <w:lang w:val="en-US"/>
        </w:rPr>
        <w:t>nexo</w:t>
      </w:r>
      <w:proofErr w:type="spellEnd"/>
      <w:r w:rsidRPr="00604EA6">
        <w:rPr>
          <w:sz w:val="24"/>
          <w:szCs w:val="24"/>
          <w:lang w:val="en-US"/>
        </w:rPr>
        <w:t xml:space="preserve"> I</w:t>
      </w:r>
      <w:r w:rsidR="00604EA6">
        <w:rPr>
          <w:sz w:val="24"/>
          <w:szCs w:val="24"/>
          <w:lang w:val="en-US"/>
        </w:rPr>
        <w:t>,</w:t>
      </w:r>
      <w:r w:rsidRPr="00604EA6">
        <w:rPr>
          <w:sz w:val="24"/>
          <w:szCs w:val="24"/>
          <w:lang w:val="en-US"/>
        </w:rPr>
        <w:t xml:space="preserve"> </w:t>
      </w:r>
      <w:r w:rsidR="00604EA6">
        <w:rPr>
          <w:sz w:val="24"/>
          <w:szCs w:val="24"/>
          <w:lang w:val="en-US"/>
        </w:rPr>
        <w:t>e</w:t>
      </w:r>
      <w:r w:rsidRPr="00604EA6">
        <w:rPr>
          <w:sz w:val="24"/>
          <w:szCs w:val="24"/>
          <w:lang w:val="en-US"/>
        </w:rPr>
        <w:t xml:space="preserve"> </w:t>
      </w:r>
      <w:r w:rsidR="00604EA6">
        <w:rPr>
          <w:sz w:val="24"/>
          <w:szCs w:val="24"/>
          <w:lang w:val="en-US"/>
        </w:rPr>
        <w:t>a</w:t>
      </w:r>
      <w:r w:rsidRPr="00604EA6">
        <w:rPr>
          <w:sz w:val="24"/>
          <w:szCs w:val="24"/>
          <w:lang w:val="en-US"/>
        </w:rPr>
        <w:t>rt.</w:t>
      </w:r>
      <w:proofErr w:type="gramEnd"/>
      <w:r w:rsidRPr="00604EA6">
        <w:rPr>
          <w:sz w:val="24"/>
          <w:szCs w:val="24"/>
          <w:lang w:val="en-US"/>
        </w:rPr>
        <w:t xml:space="preserve"> </w:t>
      </w:r>
      <w:proofErr w:type="gramStart"/>
      <w:r w:rsidRPr="00604EA6">
        <w:rPr>
          <w:sz w:val="24"/>
          <w:szCs w:val="24"/>
          <w:lang w:val="en-US"/>
        </w:rPr>
        <w:t>20</w:t>
      </w:r>
      <w:r w:rsidR="001D5BBC">
        <w:rPr>
          <w:sz w:val="24"/>
          <w:szCs w:val="24"/>
          <w:lang w:val="en-US"/>
        </w:rPr>
        <w:t xml:space="preserve">, </w:t>
      </w:r>
      <w:proofErr w:type="spellStart"/>
      <w:r w:rsidR="001D5BBC">
        <w:rPr>
          <w:sz w:val="24"/>
          <w:szCs w:val="24"/>
          <w:lang w:val="en-US"/>
        </w:rPr>
        <w:t>Anexo</w:t>
      </w:r>
      <w:proofErr w:type="spellEnd"/>
      <w:r w:rsidR="001D5BBC">
        <w:rPr>
          <w:sz w:val="24"/>
          <w:szCs w:val="24"/>
          <w:lang w:val="en-US"/>
        </w:rPr>
        <w:t xml:space="preserve"> III</w:t>
      </w:r>
      <w:r w:rsidRPr="00604EA6">
        <w:rPr>
          <w:sz w:val="24"/>
          <w:szCs w:val="24"/>
          <w:lang w:val="en-US"/>
        </w:rPr>
        <w:t>.</w:t>
      </w:r>
      <w:proofErr w:type="gramEnd"/>
    </w:p>
    <w:p w:rsidR="005620DA" w:rsidRPr="005620DA" w:rsidRDefault="005620DA" w:rsidP="00BC7B36">
      <w:pPr>
        <w:spacing w:before="120" w:after="120" w:line="360" w:lineRule="auto"/>
        <w:ind w:firstLine="1418"/>
        <w:jc w:val="both"/>
        <w:rPr>
          <w:sz w:val="24"/>
          <w:szCs w:val="24"/>
        </w:rPr>
      </w:pPr>
      <w:r w:rsidRPr="005620DA">
        <w:rPr>
          <w:sz w:val="24"/>
          <w:szCs w:val="24"/>
        </w:rPr>
        <w:t xml:space="preserve">No que tange aos impostos diretos, foi feita a análise de sensibilidade da arrecadação à variação do INPC/IBGE. Os quadros abaixo apresentam as variações nas receitas previstas para o IPVA e para o IPTU, decorrentes de variações positivas e negativas de </w:t>
      </w:r>
      <w:proofErr w:type="gramStart"/>
      <w:r w:rsidRPr="005620DA">
        <w:rPr>
          <w:sz w:val="24"/>
          <w:szCs w:val="24"/>
        </w:rPr>
        <w:t>1</w:t>
      </w:r>
      <w:proofErr w:type="gramEnd"/>
      <w:r w:rsidR="001D5BBC">
        <w:rPr>
          <w:sz w:val="24"/>
          <w:szCs w:val="24"/>
        </w:rPr>
        <w:t xml:space="preserve"> (um)</w:t>
      </w:r>
      <w:r w:rsidRPr="005620DA">
        <w:rPr>
          <w:sz w:val="24"/>
          <w:szCs w:val="24"/>
        </w:rPr>
        <w:t xml:space="preserve"> ponto percentual da estimativa do INPC/IBGE para o triênio 201</w:t>
      </w:r>
      <w:r w:rsidR="00687FEA">
        <w:rPr>
          <w:sz w:val="24"/>
          <w:szCs w:val="24"/>
        </w:rPr>
        <w:t>4</w:t>
      </w:r>
      <w:r w:rsidRPr="005620DA">
        <w:rPr>
          <w:sz w:val="24"/>
          <w:szCs w:val="24"/>
        </w:rPr>
        <w:t xml:space="preserve"> a 201</w:t>
      </w:r>
      <w:r w:rsidR="005F42FE">
        <w:rPr>
          <w:sz w:val="24"/>
          <w:szCs w:val="24"/>
        </w:rPr>
        <w:t>6</w:t>
      </w:r>
      <w:r w:rsidRPr="005620DA">
        <w:rPr>
          <w:sz w:val="24"/>
          <w:szCs w:val="24"/>
        </w:rPr>
        <w:t>.</w:t>
      </w:r>
    </w:p>
    <w:p w:rsidR="005620DA" w:rsidRPr="005620DA" w:rsidRDefault="005620DA" w:rsidP="00C86DFF">
      <w:pPr>
        <w:spacing w:before="120" w:after="120" w:line="360" w:lineRule="auto"/>
        <w:ind w:firstLine="1416"/>
        <w:jc w:val="center"/>
        <w:rPr>
          <w:b/>
          <w:sz w:val="24"/>
          <w:szCs w:val="24"/>
        </w:rPr>
      </w:pPr>
      <w:r w:rsidRPr="005620DA">
        <w:rPr>
          <w:b/>
          <w:sz w:val="24"/>
          <w:szCs w:val="24"/>
        </w:rPr>
        <w:t>Variações na Receita do IPVA x Variações no INPC/IBGE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1701"/>
        <w:gridCol w:w="1701"/>
        <w:gridCol w:w="1559"/>
      </w:tblGrid>
      <w:tr w:rsidR="00687FEA" w:rsidRPr="005620DA" w:rsidTr="00C86DFF">
        <w:tc>
          <w:tcPr>
            <w:tcW w:w="4786" w:type="dxa"/>
          </w:tcPr>
          <w:p w:rsidR="00687FEA" w:rsidRPr="005620DA" w:rsidRDefault="00687FEA" w:rsidP="005620DA">
            <w:pPr>
              <w:spacing w:before="120" w:after="120" w:line="360" w:lineRule="auto"/>
              <w:ind w:firstLine="1416"/>
              <w:jc w:val="both"/>
              <w:rPr>
                <w:sz w:val="24"/>
                <w:szCs w:val="24"/>
              </w:rPr>
            </w:pPr>
            <w:r w:rsidRPr="005620DA">
              <w:rPr>
                <w:sz w:val="24"/>
                <w:szCs w:val="24"/>
              </w:rPr>
              <w:t>Cenário</w:t>
            </w:r>
          </w:p>
        </w:tc>
        <w:tc>
          <w:tcPr>
            <w:tcW w:w="1701" w:type="dxa"/>
            <w:vAlign w:val="bottom"/>
          </w:tcPr>
          <w:p w:rsidR="00687FEA" w:rsidRPr="00650F99" w:rsidRDefault="00687FEA" w:rsidP="00B568F1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650F99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1701" w:type="dxa"/>
            <w:vAlign w:val="bottom"/>
          </w:tcPr>
          <w:p w:rsidR="00687FEA" w:rsidRPr="00650F99" w:rsidRDefault="00687FEA" w:rsidP="00B568F1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650F99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1559" w:type="dxa"/>
            <w:vAlign w:val="bottom"/>
          </w:tcPr>
          <w:p w:rsidR="00687FEA" w:rsidRPr="00650F99" w:rsidRDefault="00687FEA" w:rsidP="00B568F1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650F99">
              <w:rPr>
                <w:b/>
                <w:sz w:val="24"/>
                <w:szCs w:val="24"/>
              </w:rPr>
              <w:t>2016</w:t>
            </w:r>
          </w:p>
        </w:tc>
      </w:tr>
      <w:tr w:rsidR="005620DA" w:rsidRPr="005620DA" w:rsidTr="00C86DFF">
        <w:tc>
          <w:tcPr>
            <w:tcW w:w="4786" w:type="dxa"/>
          </w:tcPr>
          <w:p w:rsidR="005620DA" w:rsidRPr="005620DA" w:rsidRDefault="005620DA" w:rsidP="005F42FE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5620DA">
              <w:rPr>
                <w:sz w:val="24"/>
                <w:szCs w:val="24"/>
              </w:rPr>
              <w:t>+1% no INPC Acumulado 201</w:t>
            </w:r>
            <w:r w:rsidR="005F42FE">
              <w:rPr>
                <w:sz w:val="24"/>
                <w:szCs w:val="24"/>
              </w:rPr>
              <w:t>4-16</w:t>
            </w:r>
          </w:p>
        </w:tc>
        <w:tc>
          <w:tcPr>
            <w:tcW w:w="1701" w:type="dxa"/>
            <w:vAlign w:val="bottom"/>
          </w:tcPr>
          <w:p w:rsidR="005620DA" w:rsidRPr="005620DA" w:rsidRDefault="005620DA" w:rsidP="00C86DFF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5620DA">
              <w:rPr>
                <w:sz w:val="24"/>
                <w:szCs w:val="24"/>
              </w:rPr>
              <w:t>+</w:t>
            </w:r>
            <w:r w:rsidR="005F42FE">
              <w:rPr>
                <w:sz w:val="24"/>
                <w:szCs w:val="24"/>
              </w:rPr>
              <w:t>1,10</w:t>
            </w:r>
            <w:r w:rsidRPr="005620DA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bottom"/>
          </w:tcPr>
          <w:p w:rsidR="005620DA" w:rsidRPr="005620DA" w:rsidRDefault="005620DA" w:rsidP="00C86DFF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5620DA">
              <w:rPr>
                <w:sz w:val="24"/>
                <w:szCs w:val="24"/>
              </w:rPr>
              <w:t>+</w:t>
            </w:r>
            <w:r w:rsidR="005F42FE">
              <w:rPr>
                <w:sz w:val="24"/>
                <w:szCs w:val="24"/>
              </w:rPr>
              <w:t>2,16</w:t>
            </w:r>
            <w:r w:rsidRPr="005620DA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bottom"/>
          </w:tcPr>
          <w:p w:rsidR="005620DA" w:rsidRPr="005620DA" w:rsidRDefault="005620DA" w:rsidP="00C86DFF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5620DA">
              <w:rPr>
                <w:sz w:val="24"/>
                <w:szCs w:val="24"/>
              </w:rPr>
              <w:t>+</w:t>
            </w:r>
            <w:r w:rsidR="005F42FE">
              <w:rPr>
                <w:sz w:val="24"/>
                <w:szCs w:val="24"/>
              </w:rPr>
              <w:t>3,25</w:t>
            </w:r>
            <w:r w:rsidRPr="005620DA">
              <w:rPr>
                <w:sz w:val="24"/>
                <w:szCs w:val="24"/>
              </w:rPr>
              <w:t>%</w:t>
            </w:r>
          </w:p>
        </w:tc>
      </w:tr>
      <w:tr w:rsidR="005620DA" w:rsidRPr="005620DA" w:rsidTr="00C86DFF">
        <w:tc>
          <w:tcPr>
            <w:tcW w:w="4786" w:type="dxa"/>
          </w:tcPr>
          <w:p w:rsidR="005620DA" w:rsidRPr="005620DA" w:rsidRDefault="005620DA" w:rsidP="005620DA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5620DA">
              <w:rPr>
                <w:sz w:val="24"/>
                <w:szCs w:val="24"/>
              </w:rPr>
              <w:t xml:space="preserve">Expectativa INPC Acumulado </w:t>
            </w:r>
            <w:r w:rsidR="005F42FE" w:rsidRPr="005620DA">
              <w:rPr>
                <w:sz w:val="24"/>
                <w:szCs w:val="24"/>
              </w:rPr>
              <w:t>201</w:t>
            </w:r>
            <w:r w:rsidR="005F42FE">
              <w:rPr>
                <w:sz w:val="24"/>
                <w:szCs w:val="24"/>
              </w:rPr>
              <w:t>4-16</w:t>
            </w:r>
            <w:r w:rsidR="005F42FE" w:rsidRPr="005620DA">
              <w:rPr>
                <w:sz w:val="24"/>
                <w:szCs w:val="24"/>
              </w:rPr>
              <w:t xml:space="preserve"> </w:t>
            </w:r>
            <w:r w:rsidRPr="005620DA">
              <w:rPr>
                <w:sz w:val="24"/>
                <w:szCs w:val="24"/>
              </w:rPr>
              <w:t>(*)</w:t>
            </w:r>
          </w:p>
        </w:tc>
        <w:tc>
          <w:tcPr>
            <w:tcW w:w="1701" w:type="dxa"/>
            <w:vAlign w:val="bottom"/>
          </w:tcPr>
          <w:p w:rsidR="005620DA" w:rsidRPr="005620DA" w:rsidRDefault="005F42FE" w:rsidP="005620DA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4,94</w:t>
            </w:r>
            <w:r w:rsidR="005620DA" w:rsidRPr="005620DA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bottom"/>
          </w:tcPr>
          <w:p w:rsidR="005620DA" w:rsidRPr="005620DA" w:rsidRDefault="005F42FE" w:rsidP="005620DA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5,11</w:t>
            </w:r>
            <w:r w:rsidR="005620DA" w:rsidRPr="005620DA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bottom"/>
          </w:tcPr>
          <w:p w:rsidR="005620DA" w:rsidRPr="005620DA" w:rsidRDefault="005F42FE" w:rsidP="005620DA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  <w:r w:rsidR="005620DA" w:rsidRPr="005620DA">
              <w:rPr>
                <w:sz w:val="24"/>
                <w:szCs w:val="24"/>
              </w:rPr>
              <w:t>%</w:t>
            </w:r>
          </w:p>
        </w:tc>
      </w:tr>
      <w:tr w:rsidR="005620DA" w:rsidRPr="005620DA" w:rsidTr="00C86DFF">
        <w:tc>
          <w:tcPr>
            <w:tcW w:w="4786" w:type="dxa"/>
          </w:tcPr>
          <w:p w:rsidR="005620DA" w:rsidRPr="005620DA" w:rsidRDefault="005620DA" w:rsidP="005620DA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5620DA">
              <w:rPr>
                <w:sz w:val="24"/>
                <w:szCs w:val="24"/>
              </w:rPr>
              <w:t xml:space="preserve">-1% no INPC Acumulado </w:t>
            </w:r>
            <w:r w:rsidR="005F42FE" w:rsidRPr="005620DA">
              <w:rPr>
                <w:sz w:val="24"/>
                <w:szCs w:val="24"/>
              </w:rPr>
              <w:t>201</w:t>
            </w:r>
            <w:r w:rsidR="005F42FE">
              <w:rPr>
                <w:sz w:val="24"/>
                <w:szCs w:val="24"/>
              </w:rPr>
              <w:t>4-16</w:t>
            </w:r>
          </w:p>
        </w:tc>
        <w:tc>
          <w:tcPr>
            <w:tcW w:w="1701" w:type="dxa"/>
            <w:vAlign w:val="bottom"/>
          </w:tcPr>
          <w:p w:rsidR="005620DA" w:rsidRPr="005620DA" w:rsidRDefault="005F42FE" w:rsidP="00C86DFF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-1,10</w:t>
            </w:r>
            <w:r w:rsidR="005620DA" w:rsidRPr="005620DA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bottom"/>
          </w:tcPr>
          <w:p w:rsidR="005620DA" w:rsidRPr="005620DA" w:rsidRDefault="005F42FE" w:rsidP="00C86DFF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-2,14</w:t>
            </w:r>
            <w:r w:rsidR="005620DA" w:rsidRPr="005620DA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bottom"/>
          </w:tcPr>
          <w:p w:rsidR="005620DA" w:rsidRPr="005620DA" w:rsidRDefault="005F42FE" w:rsidP="00C86DFF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-3,19</w:t>
            </w:r>
            <w:r w:rsidR="005620DA" w:rsidRPr="005620DA">
              <w:rPr>
                <w:sz w:val="24"/>
                <w:szCs w:val="24"/>
              </w:rPr>
              <w:t>%</w:t>
            </w:r>
          </w:p>
        </w:tc>
      </w:tr>
    </w:tbl>
    <w:p w:rsidR="005620DA" w:rsidRPr="005620DA" w:rsidRDefault="005620DA" w:rsidP="005620DA">
      <w:pPr>
        <w:spacing w:before="120" w:after="120" w:line="360" w:lineRule="auto"/>
        <w:ind w:firstLine="1416"/>
        <w:jc w:val="both"/>
        <w:rPr>
          <w:sz w:val="24"/>
          <w:szCs w:val="24"/>
        </w:rPr>
      </w:pPr>
      <w:r w:rsidRPr="005620DA">
        <w:rPr>
          <w:sz w:val="24"/>
          <w:szCs w:val="24"/>
        </w:rPr>
        <w:t>(*</w:t>
      </w:r>
      <w:proofErr w:type="gramStart"/>
      <w:r w:rsidRPr="005620DA">
        <w:rPr>
          <w:sz w:val="24"/>
          <w:szCs w:val="24"/>
        </w:rPr>
        <w:t>)Pesquisa</w:t>
      </w:r>
      <w:proofErr w:type="gramEnd"/>
      <w:r w:rsidRPr="005620DA">
        <w:rPr>
          <w:sz w:val="24"/>
          <w:szCs w:val="24"/>
        </w:rPr>
        <w:t xml:space="preserve"> </w:t>
      </w:r>
      <w:proofErr w:type="spellStart"/>
      <w:r w:rsidRPr="005620DA">
        <w:rPr>
          <w:sz w:val="24"/>
          <w:szCs w:val="24"/>
        </w:rPr>
        <w:t>Focus</w:t>
      </w:r>
      <w:proofErr w:type="spellEnd"/>
      <w:r w:rsidRPr="005620DA">
        <w:rPr>
          <w:sz w:val="24"/>
          <w:szCs w:val="24"/>
        </w:rPr>
        <w:t xml:space="preserve"> do BACEN em </w:t>
      </w:r>
      <w:r w:rsidR="005F42FE">
        <w:rPr>
          <w:sz w:val="24"/>
          <w:szCs w:val="24"/>
        </w:rPr>
        <w:t>22/03/2013</w:t>
      </w:r>
      <w:r w:rsidRPr="005620DA">
        <w:rPr>
          <w:sz w:val="24"/>
          <w:szCs w:val="24"/>
        </w:rPr>
        <w:t>.</w:t>
      </w:r>
    </w:p>
    <w:p w:rsidR="005620DA" w:rsidRPr="005620DA" w:rsidRDefault="005620DA" w:rsidP="00C86DFF">
      <w:pPr>
        <w:spacing w:before="120" w:after="120" w:line="360" w:lineRule="auto"/>
        <w:ind w:firstLine="1416"/>
        <w:jc w:val="center"/>
        <w:rPr>
          <w:b/>
          <w:sz w:val="24"/>
          <w:szCs w:val="24"/>
        </w:rPr>
      </w:pPr>
      <w:r w:rsidRPr="005620DA">
        <w:rPr>
          <w:b/>
          <w:sz w:val="24"/>
          <w:szCs w:val="24"/>
        </w:rPr>
        <w:t>Variações na Receita do IPTU x Variações no INPC/IBGE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1701"/>
        <w:gridCol w:w="1701"/>
        <w:gridCol w:w="1559"/>
      </w:tblGrid>
      <w:tr w:rsidR="00687FEA" w:rsidRPr="005620DA" w:rsidTr="00C86DFF">
        <w:tc>
          <w:tcPr>
            <w:tcW w:w="4786" w:type="dxa"/>
          </w:tcPr>
          <w:p w:rsidR="00687FEA" w:rsidRPr="005620DA" w:rsidRDefault="00687FEA" w:rsidP="005620DA">
            <w:pPr>
              <w:spacing w:before="120" w:after="120" w:line="360" w:lineRule="auto"/>
              <w:ind w:firstLine="1416"/>
              <w:jc w:val="both"/>
              <w:rPr>
                <w:sz w:val="24"/>
                <w:szCs w:val="24"/>
              </w:rPr>
            </w:pPr>
            <w:r w:rsidRPr="005620DA">
              <w:rPr>
                <w:sz w:val="24"/>
                <w:szCs w:val="24"/>
              </w:rPr>
              <w:t>Cenário</w:t>
            </w:r>
          </w:p>
        </w:tc>
        <w:tc>
          <w:tcPr>
            <w:tcW w:w="1701" w:type="dxa"/>
            <w:vAlign w:val="bottom"/>
          </w:tcPr>
          <w:p w:rsidR="00687FEA" w:rsidRPr="00650F99" w:rsidRDefault="00687FEA" w:rsidP="00B568F1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650F99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1701" w:type="dxa"/>
            <w:vAlign w:val="bottom"/>
          </w:tcPr>
          <w:p w:rsidR="00687FEA" w:rsidRPr="00650F99" w:rsidRDefault="00687FEA" w:rsidP="00B568F1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650F99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1559" w:type="dxa"/>
            <w:vAlign w:val="bottom"/>
          </w:tcPr>
          <w:p w:rsidR="00687FEA" w:rsidRPr="00650F99" w:rsidRDefault="00687FEA" w:rsidP="00B568F1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650F99">
              <w:rPr>
                <w:b/>
                <w:sz w:val="24"/>
                <w:szCs w:val="24"/>
              </w:rPr>
              <w:t>2016</w:t>
            </w:r>
          </w:p>
        </w:tc>
      </w:tr>
      <w:tr w:rsidR="005620DA" w:rsidRPr="005620DA" w:rsidTr="00C86DFF">
        <w:tc>
          <w:tcPr>
            <w:tcW w:w="4786" w:type="dxa"/>
          </w:tcPr>
          <w:p w:rsidR="005620DA" w:rsidRPr="005620DA" w:rsidRDefault="005620DA" w:rsidP="005620DA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5620DA">
              <w:rPr>
                <w:sz w:val="24"/>
                <w:szCs w:val="24"/>
              </w:rPr>
              <w:t xml:space="preserve">+1% no INPC Acumulado </w:t>
            </w:r>
            <w:r w:rsidR="00F514DE" w:rsidRPr="005620DA">
              <w:rPr>
                <w:sz w:val="24"/>
                <w:szCs w:val="24"/>
              </w:rPr>
              <w:t>201</w:t>
            </w:r>
            <w:r w:rsidR="00F514DE">
              <w:rPr>
                <w:sz w:val="24"/>
                <w:szCs w:val="24"/>
              </w:rPr>
              <w:t>4-16</w:t>
            </w:r>
          </w:p>
        </w:tc>
        <w:tc>
          <w:tcPr>
            <w:tcW w:w="1701" w:type="dxa"/>
            <w:vAlign w:val="bottom"/>
          </w:tcPr>
          <w:p w:rsidR="005620DA" w:rsidRPr="005620DA" w:rsidRDefault="00F514DE" w:rsidP="00C86DFF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-0,99</w:t>
            </w:r>
            <w:r w:rsidR="005620DA" w:rsidRPr="005620DA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bottom"/>
          </w:tcPr>
          <w:p w:rsidR="005620DA" w:rsidRPr="005620DA" w:rsidRDefault="00F514DE" w:rsidP="00C86DFF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-1,97</w:t>
            </w:r>
            <w:r w:rsidR="005620DA" w:rsidRPr="005620DA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bottom"/>
          </w:tcPr>
          <w:p w:rsidR="005620DA" w:rsidRPr="005620DA" w:rsidRDefault="00F514DE" w:rsidP="00C86DFF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-2,93</w:t>
            </w:r>
            <w:r w:rsidR="005620DA" w:rsidRPr="005620DA">
              <w:rPr>
                <w:sz w:val="24"/>
                <w:szCs w:val="24"/>
              </w:rPr>
              <w:t>%</w:t>
            </w:r>
          </w:p>
        </w:tc>
      </w:tr>
      <w:tr w:rsidR="005620DA" w:rsidRPr="005620DA" w:rsidTr="00C86DFF">
        <w:tc>
          <w:tcPr>
            <w:tcW w:w="4786" w:type="dxa"/>
          </w:tcPr>
          <w:p w:rsidR="005620DA" w:rsidRPr="005620DA" w:rsidRDefault="005620DA" w:rsidP="005620DA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5620DA">
              <w:rPr>
                <w:sz w:val="24"/>
                <w:szCs w:val="24"/>
              </w:rPr>
              <w:t xml:space="preserve">Expectativa INPC Acumulado </w:t>
            </w:r>
            <w:r w:rsidR="00F514DE" w:rsidRPr="005620DA">
              <w:rPr>
                <w:sz w:val="24"/>
                <w:szCs w:val="24"/>
              </w:rPr>
              <w:t>201</w:t>
            </w:r>
            <w:r w:rsidR="00F514DE">
              <w:rPr>
                <w:sz w:val="24"/>
                <w:szCs w:val="24"/>
              </w:rPr>
              <w:t>4-16</w:t>
            </w:r>
            <w:r w:rsidR="00F514DE" w:rsidRPr="005620DA">
              <w:rPr>
                <w:sz w:val="24"/>
                <w:szCs w:val="24"/>
              </w:rPr>
              <w:t xml:space="preserve"> </w:t>
            </w:r>
            <w:r w:rsidRPr="005620DA">
              <w:rPr>
                <w:sz w:val="24"/>
                <w:szCs w:val="24"/>
              </w:rPr>
              <w:t>(*)</w:t>
            </w:r>
          </w:p>
        </w:tc>
        <w:tc>
          <w:tcPr>
            <w:tcW w:w="1701" w:type="dxa"/>
            <w:vAlign w:val="bottom"/>
          </w:tcPr>
          <w:p w:rsidR="005620DA" w:rsidRPr="005620DA" w:rsidRDefault="00F514DE" w:rsidP="00C86DFF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4,94</w:t>
            </w:r>
            <w:r w:rsidR="005620DA" w:rsidRPr="005620DA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bottom"/>
          </w:tcPr>
          <w:p w:rsidR="005620DA" w:rsidRPr="005620DA" w:rsidRDefault="00F514DE" w:rsidP="00C86DFF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5,11</w:t>
            </w:r>
            <w:r w:rsidR="005620DA" w:rsidRPr="005620DA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bottom"/>
          </w:tcPr>
          <w:p w:rsidR="005620DA" w:rsidRPr="005620DA" w:rsidRDefault="00F514DE" w:rsidP="00C86DFF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  <w:r w:rsidR="005620DA" w:rsidRPr="005620DA">
              <w:rPr>
                <w:sz w:val="24"/>
                <w:szCs w:val="24"/>
              </w:rPr>
              <w:t>%</w:t>
            </w:r>
          </w:p>
        </w:tc>
      </w:tr>
      <w:tr w:rsidR="005620DA" w:rsidRPr="005620DA" w:rsidTr="00C86DFF">
        <w:tc>
          <w:tcPr>
            <w:tcW w:w="4786" w:type="dxa"/>
          </w:tcPr>
          <w:p w:rsidR="005620DA" w:rsidRPr="005620DA" w:rsidRDefault="005620DA" w:rsidP="005620DA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5620DA">
              <w:rPr>
                <w:sz w:val="24"/>
                <w:szCs w:val="24"/>
              </w:rPr>
              <w:t xml:space="preserve">-1% no INPC Acumulado </w:t>
            </w:r>
            <w:r w:rsidR="00F514DE" w:rsidRPr="005620DA">
              <w:rPr>
                <w:sz w:val="24"/>
                <w:szCs w:val="24"/>
              </w:rPr>
              <w:t>201</w:t>
            </w:r>
            <w:r w:rsidR="00F514DE">
              <w:rPr>
                <w:sz w:val="24"/>
                <w:szCs w:val="24"/>
              </w:rPr>
              <w:t>4-16</w:t>
            </w:r>
          </w:p>
        </w:tc>
        <w:tc>
          <w:tcPr>
            <w:tcW w:w="1701" w:type="dxa"/>
            <w:vAlign w:val="bottom"/>
          </w:tcPr>
          <w:p w:rsidR="005620DA" w:rsidRPr="005620DA" w:rsidRDefault="00F514DE" w:rsidP="00C86DFF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-0,99</w:t>
            </w:r>
            <w:r w:rsidR="005620DA" w:rsidRPr="005620DA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bottom"/>
          </w:tcPr>
          <w:p w:rsidR="005620DA" w:rsidRPr="005620DA" w:rsidRDefault="00E9691D" w:rsidP="00C86DFF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514DE">
              <w:rPr>
                <w:sz w:val="24"/>
                <w:szCs w:val="24"/>
              </w:rPr>
              <w:t>1,97</w:t>
            </w:r>
            <w:r w:rsidR="005620DA" w:rsidRPr="005620DA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bottom"/>
          </w:tcPr>
          <w:p w:rsidR="005620DA" w:rsidRPr="005620DA" w:rsidRDefault="00E9691D" w:rsidP="00C86DFF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514DE">
              <w:rPr>
                <w:sz w:val="24"/>
                <w:szCs w:val="24"/>
              </w:rPr>
              <w:t>2,93</w:t>
            </w:r>
            <w:r w:rsidR="005620DA" w:rsidRPr="005620DA">
              <w:rPr>
                <w:sz w:val="24"/>
                <w:szCs w:val="24"/>
              </w:rPr>
              <w:t>%</w:t>
            </w:r>
          </w:p>
        </w:tc>
      </w:tr>
    </w:tbl>
    <w:p w:rsidR="005620DA" w:rsidRPr="005620DA" w:rsidRDefault="005620DA" w:rsidP="001D5BBC">
      <w:pPr>
        <w:spacing w:line="360" w:lineRule="auto"/>
        <w:jc w:val="both"/>
        <w:rPr>
          <w:sz w:val="24"/>
          <w:szCs w:val="24"/>
        </w:rPr>
      </w:pPr>
      <w:r w:rsidRPr="005620DA">
        <w:rPr>
          <w:sz w:val="24"/>
          <w:szCs w:val="24"/>
        </w:rPr>
        <w:t>(*</w:t>
      </w:r>
      <w:proofErr w:type="gramStart"/>
      <w:r w:rsidRPr="005620DA">
        <w:rPr>
          <w:sz w:val="24"/>
          <w:szCs w:val="24"/>
        </w:rPr>
        <w:t>)Pesquisa</w:t>
      </w:r>
      <w:proofErr w:type="gramEnd"/>
      <w:r w:rsidRPr="005620DA">
        <w:rPr>
          <w:sz w:val="24"/>
          <w:szCs w:val="24"/>
        </w:rPr>
        <w:t xml:space="preserve"> </w:t>
      </w:r>
      <w:proofErr w:type="spellStart"/>
      <w:r w:rsidRPr="005620DA">
        <w:rPr>
          <w:sz w:val="24"/>
          <w:szCs w:val="24"/>
        </w:rPr>
        <w:t>Focus</w:t>
      </w:r>
      <w:proofErr w:type="spellEnd"/>
      <w:r w:rsidRPr="005620DA">
        <w:rPr>
          <w:sz w:val="24"/>
          <w:szCs w:val="24"/>
        </w:rPr>
        <w:t xml:space="preserve"> do BACEN em </w:t>
      </w:r>
      <w:r w:rsidR="00F514DE">
        <w:rPr>
          <w:sz w:val="24"/>
          <w:szCs w:val="24"/>
        </w:rPr>
        <w:t>22/03/2013</w:t>
      </w:r>
      <w:r w:rsidRPr="005620DA">
        <w:rPr>
          <w:sz w:val="24"/>
          <w:szCs w:val="24"/>
        </w:rPr>
        <w:t>.</w:t>
      </w:r>
    </w:p>
    <w:p w:rsidR="00916EF9" w:rsidRPr="00611A3C" w:rsidRDefault="00210209" w:rsidP="00611A3C">
      <w:pPr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DOS </w:t>
      </w:r>
      <w:r w:rsidR="003920F0" w:rsidRPr="0004492D">
        <w:rPr>
          <w:b/>
          <w:sz w:val="24"/>
          <w:szCs w:val="24"/>
        </w:rPr>
        <w:t>RISCOS DECORRENTES DA DÍVIDA PÚBLICA</w:t>
      </w:r>
    </w:p>
    <w:p w:rsidR="0043186D" w:rsidRPr="0004492D" w:rsidRDefault="00916EF9" w:rsidP="00611A3C">
      <w:pPr>
        <w:spacing w:before="120" w:after="120" w:line="360" w:lineRule="auto"/>
        <w:ind w:firstLine="1416"/>
        <w:jc w:val="both"/>
        <w:rPr>
          <w:sz w:val="24"/>
          <w:szCs w:val="24"/>
        </w:rPr>
      </w:pPr>
      <w:r w:rsidRPr="0004492D">
        <w:rPr>
          <w:sz w:val="24"/>
          <w:szCs w:val="24"/>
        </w:rPr>
        <w:t>Esses riscos referem-se a possíveis ocorrências externas à adm</w:t>
      </w:r>
      <w:r w:rsidR="00EF3403" w:rsidRPr="0004492D">
        <w:rPr>
          <w:sz w:val="24"/>
          <w:szCs w:val="24"/>
        </w:rPr>
        <w:t>inistração</w:t>
      </w:r>
      <w:r w:rsidR="0098560E" w:rsidRPr="0004492D">
        <w:rPr>
          <w:sz w:val="24"/>
          <w:szCs w:val="24"/>
        </w:rPr>
        <w:t>,</w:t>
      </w:r>
      <w:r w:rsidR="00EF3403" w:rsidRPr="0004492D">
        <w:rPr>
          <w:sz w:val="24"/>
          <w:szCs w:val="24"/>
        </w:rPr>
        <w:t xml:space="preserve"> que, quando efetivada</w:t>
      </w:r>
      <w:r w:rsidRPr="0004492D">
        <w:rPr>
          <w:sz w:val="24"/>
          <w:szCs w:val="24"/>
        </w:rPr>
        <w:t>s, resulta</w:t>
      </w:r>
      <w:r w:rsidR="00E6729D" w:rsidRPr="0004492D">
        <w:rPr>
          <w:sz w:val="24"/>
          <w:szCs w:val="24"/>
        </w:rPr>
        <w:t>m</w:t>
      </w:r>
      <w:r w:rsidRPr="0004492D">
        <w:rPr>
          <w:sz w:val="24"/>
          <w:szCs w:val="24"/>
        </w:rPr>
        <w:t xml:space="preserve"> em aumento do serviço da dívida pública </w:t>
      </w:r>
      <w:r w:rsidR="00E6729D" w:rsidRPr="0004492D">
        <w:rPr>
          <w:sz w:val="24"/>
          <w:szCs w:val="24"/>
        </w:rPr>
        <w:t>d</w:t>
      </w:r>
      <w:r w:rsidRPr="0004492D">
        <w:rPr>
          <w:sz w:val="24"/>
          <w:szCs w:val="24"/>
        </w:rPr>
        <w:t xml:space="preserve">o ano </w:t>
      </w:r>
      <w:r w:rsidR="00E6729D" w:rsidRPr="0004492D">
        <w:rPr>
          <w:sz w:val="24"/>
          <w:szCs w:val="24"/>
        </w:rPr>
        <w:t>em</w:t>
      </w:r>
      <w:r w:rsidRPr="0004492D">
        <w:rPr>
          <w:sz w:val="24"/>
          <w:szCs w:val="24"/>
        </w:rPr>
        <w:t xml:space="preserve"> refer</w:t>
      </w:r>
      <w:r w:rsidR="00EF3403" w:rsidRPr="0004492D">
        <w:rPr>
          <w:sz w:val="24"/>
          <w:szCs w:val="24"/>
        </w:rPr>
        <w:t>ência, comprometendo, sobremaneira, as demais programações orçamentárias.</w:t>
      </w:r>
    </w:p>
    <w:p w:rsidR="0098560E" w:rsidRPr="0004492D" w:rsidRDefault="0043186D" w:rsidP="00611A3C">
      <w:pPr>
        <w:tabs>
          <w:tab w:val="left" w:pos="1701"/>
        </w:tabs>
        <w:spacing w:before="120" w:after="120" w:line="360" w:lineRule="auto"/>
        <w:ind w:firstLine="1418"/>
        <w:jc w:val="both"/>
        <w:rPr>
          <w:sz w:val="24"/>
          <w:szCs w:val="24"/>
        </w:rPr>
      </w:pPr>
      <w:r w:rsidRPr="0004492D">
        <w:rPr>
          <w:sz w:val="24"/>
          <w:szCs w:val="24"/>
        </w:rPr>
        <w:lastRenderedPageBreak/>
        <w:t>O r</w:t>
      </w:r>
      <w:r w:rsidR="003C2A96" w:rsidRPr="0004492D">
        <w:rPr>
          <w:sz w:val="24"/>
          <w:szCs w:val="24"/>
        </w:rPr>
        <w:t>isco relacionado à gestão d</w:t>
      </w:r>
      <w:r w:rsidR="00E22D86" w:rsidRPr="0004492D">
        <w:rPr>
          <w:sz w:val="24"/>
          <w:szCs w:val="24"/>
        </w:rPr>
        <w:t>a</w:t>
      </w:r>
      <w:r w:rsidR="003C2A96" w:rsidRPr="0004492D">
        <w:rPr>
          <w:sz w:val="24"/>
          <w:szCs w:val="24"/>
        </w:rPr>
        <w:t xml:space="preserve"> dívida</w:t>
      </w:r>
      <w:r w:rsidRPr="0004492D">
        <w:rPr>
          <w:sz w:val="24"/>
          <w:szCs w:val="24"/>
        </w:rPr>
        <w:t xml:space="preserve"> contratual</w:t>
      </w:r>
      <w:r w:rsidR="00743057" w:rsidRPr="0004492D">
        <w:rPr>
          <w:sz w:val="24"/>
          <w:szCs w:val="24"/>
        </w:rPr>
        <w:t xml:space="preserve"> </w:t>
      </w:r>
      <w:r w:rsidR="003C2A96" w:rsidRPr="0004492D">
        <w:rPr>
          <w:sz w:val="24"/>
          <w:szCs w:val="24"/>
        </w:rPr>
        <w:t xml:space="preserve">decorre do impacto de eventuais variações de taxas de juros, de câmbio e de inflação </w:t>
      </w:r>
      <w:r w:rsidR="00765E26" w:rsidRPr="0004492D">
        <w:rPr>
          <w:sz w:val="24"/>
          <w:szCs w:val="24"/>
        </w:rPr>
        <w:t>sobre os</w:t>
      </w:r>
      <w:r w:rsidR="00EF3403" w:rsidRPr="0004492D">
        <w:rPr>
          <w:sz w:val="24"/>
          <w:szCs w:val="24"/>
        </w:rPr>
        <w:t xml:space="preserve"> títulos vincendos, bem como </w:t>
      </w:r>
      <w:r w:rsidR="00EB5FEE" w:rsidRPr="0004492D">
        <w:rPr>
          <w:sz w:val="24"/>
          <w:szCs w:val="24"/>
        </w:rPr>
        <w:t>d</w:t>
      </w:r>
      <w:r w:rsidR="00EF3403" w:rsidRPr="0004492D">
        <w:rPr>
          <w:sz w:val="24"/>
          <w:szCs w:val="24"/>
        </w:rPr>
        <w:t>as</w:t>
      </w:r>
      <w:r w:rsidR="00E22D86" w:rsidRPr="0004492D">
        <w:rPr>
          <w:sz w:val="24"/>
          <w:szCs w:val="24"/>
        </w:rPr>
        <w:t xml:space="preserve"> </w:t>
      </w:r>
      <w:r w:rsidR="00B205BE">
        <w:rPr>
          <w:sz w:val="24"/>
          <w:szCs w:val="24"/>
        </w:rPr>
        <w:t xml:space="preserve">mudanças </w:t>
      </w:r>
      <w:r w:rsidR="00E22D86" w:rsidRPr="0004492D">
        <w:rPr>
          <w:sz w:val="24"/>
          <w:szCs w:val="24"/>
        </w:rPr>
        <w:t>de necessidades não previstas</w:t>
      </w:r>
      <w:r w:rsidR="0098560E" w:rsidRPr="0004492D">
        <w:rPr>
          <w:sz w:val="24"/>
          <w:szCs w:val="24"/>
        </w:rPr>
        <w:t xml:space="preserve">, as quais </w:t>
      </w:r>
      <w:r w:rsidR="00EB5FEE" w:rsidRPr="0004492D">
        <w:rPr>
          <w:sz w:val="24"/>
          <w:szCs w:val="24"/>
        </w:rPr>
        <w:t xml:space="preserve">terão </w:t>
      </w:r>
      <w:r w:rsidR="00743057" w:rsidRPr="0004492D">
        <w:rPr>
          <w:sz w:val="24"/>
          <w:szCs w:val="24"/>
        </w:rPr>
        <w:t>reflexo na programação orçamentária</w:t>
      </w:r>
      <w:r w:rsidR="00765E26" w:rsidRPr="0004492D">
        <w:rPr>
          <w:sz w:val="24"/>
          <w:szCs w:val="24"/>
        </w:rPr>
        <w:t xml:space="preserve"> e financeira</w:t>
      </w:r>
      <w:r w:rsidR="003C2A96" w:rsidRPr="0004492D">
        <w:rPr>
          <w:sz w:val="24"/>
          <w:szCs w:val="24"/>
        </w:rPr>
        <w:t xml:space="preserve"> </w:t>
      </w:r>
      <w:r w:rsidR="0098560E" w:rsidRPr="0004492D">
        <w:rPr>
          <w:sz w:val="24"/>
          <w:szCs w:val="24"/>
        </w:rPr>
        <w:t>com o aum</w:t>
      </w:r>
      <w:r w:rsidR="00DE401C" w:rsidRPr="0004492D">
        <w:rPr>
          <w:sz w:val="24"/>
          <w:szCs w:val="24"/>
        </w:rPr>
        <w:t xml:space="preserve">ento da demanda de recursos necessários ao </w:t>
      </w:r>
      <w:r w:rsidR="0098560E" w:rsidRPr="0004492D">
        <w:rPr>
          <w:sz w:val="24"/>
          <w:szCs w:val="24"/>
        </w:rPr>
        <w:t>custeio das novas obrigações</w:t>
      </w:r>
      <w:r w:rsidR="00743057" w:rsidRPr="0004492D">
        <w:rPr>
          <w:sz w:val="24"/>
          <w:szCs w:val="24"/>
        </w:rPr>
        <w:t>, em determinado</w:t>
      </w:r>
      <w:r w:rsidR="00A56E3A">
        <w:rPr>
          <w:sz w:val="24"/>
          <w:szCs w:val="24"/>
        </w:rPr>
        <w:t xml:space="preserve"> período</w:t>
      </w:r>
      <w:r w:rsidR="00DE401C" w:rsidRPr="0004492D">
        <w:rPr>
          <w:sz w:val="24"/>
          <w:szCs w:val="24"/>
        </w:rPr>
        <w:t>, gerando efeito sobre os títulos</w:t>
      </w:r>
      <w:r w:rsidR="00210209">
        <w:rPr>
          <w:sz w:val="24"/>
          <w:szCs w:val="24"/>
        </w:rPr>
        <w:t>,</w:t>
      </w:r>
      <w:r w:rsidR="00DE401C" w:rsidRPr="0004492D">
        <w:rPr>
          <w:sz w:val="24"/>
          <w:szCs w:val="24"/>
        </w:rPr>
        <w:t xml:space="preserve"> </w:t>
      </w:r>
      <w:r w:rsidR="00A56E3A">
        <w:rPr>
          <w:sz w:val="24"/>
          <w:szCs w:val="24"/>
        </w:rPr>
        <w:t xml:space="preserve">sobretudo nos casos </w:t>
      </w:r>
      <w:r w:rsidR="00DE401C" w:rsidRPr="0004492D">
        <w:rPr>
          <w:sz w:val="24"/>
          <w:szCs w:val="24"/>
        </w:rPr>
        <w:t>cujo prazo de vencimento se e</w:t>
      </w:r>
      <w:r w:rsidR="004033F9">
        <w:rPr>
          <w:sz w:val="24"/>
          <w:szCs w:val="24"/>
        </w:rPr>
        <w:t>stend</w:t>
      </w:r>
      <w:r w:rsidR="00A56E3A">
        <w:rPr>
          <w:sz w:val="24"/>
          <w:szCs w:val="24"/>
        </w:rPr>
        <w:t>a</w:t>
      </w:r>
      <w:r w:rsidR="00743057" w:rsidRPr="0004492D">
        <w:rPr>
          <w:sz w:val="24"/>
          <w:szCs w:val="24"/>
        </w:rPr>
        <w:t xml:space="preserve"> além do exercício fiscal</w:t>
      </w:r>
      <w:r w:rsidR="004033F9">
        <w:rPr>
          <w:sz w:val="24"/>
          <w:szCs w:val="24"/>
        </w:rPr>
        <w:t xml:space="preserve"> </w:t>
      </w:r>
      <w:r w:rsidR="003920F0" w:rsidRPr="0004492D">
        <w:rPr>
          <w:sz w:val="24"/>
          <w:szCs w:val="24"/>
        </w:rPr>
        <w:t>planejado</w:t>
      </w:r>
      <w:r w:rsidR="0098560E" w:rsidRPr="0004492D">
        <w:rPr>
          <w:sz w:val="24"/>
          <w:szCs w:val="24"/>
        </w:rPr>
        <w:t>.</w:t>
      </w:r>
    </w:p>
    <w:p w:rsidR="00157359" w:rsidRDefault="0098560E" w:rsidP="002F1D10">
      <w:pPr>
        <w:tabs>
          <w:tab w:val="left" w:pos="1701"/>
        </w:tabs>
        <w:spacing w:before="120" w:after="120" w:line="360" w:lineRule="auto"/>
        <w:ind w:firstLine="1418"/>
        <w:jc w:val="both"/>
        <w:rPr>
          <w:sz w:val="24"/>
          <w:szCs w:val="24"/>
        </w:rPr>
      </w:pPr>
      <w:r w:rsidRPr="0004492D">
        <w:rPr>
          <w:sz w:val="24"/>
          <w:szCs w:val="24"/>
        </w:rPr>
        <w:t xml:space="preserve">Nesse sentido, é tempestivo apresentar </w:t>
      </w:r>
      <w:r w:rsidR="0029647A" w:rsidRPr="0004492D">
        <w:rPr>
          <w:sz w:val="24"/>
          <w:szCs w:val="24"/>
        </w:rPr>
        <w:t xml:space="preserve">a seguir </w:t>
      </w:r>
      <w:r w:rsidRPr="0004492D">
        <w:rPr>
          <w:sz w:val="24"/>
          <w:szCs w:val="24"/>
        </w:rPr>
        <w:t>o comportamento da situação de endi</w:t>
      </w:r>
      <w:r w:rsidR="004033F9">
        <w:rPr>
          <w:sz w:val="24"/>
          <w:szCs w:val="24"/>
        </w:rPr>
        <w:t xml:space="preserve">vidamento do Distrito Federal, </w:t>
      </w:r>
      <w:r w:rsidRPr="0004492D">
        <w:rPr>
          <w:sz w:val="24"/>
          <w:szCs w:val="24"/>
        </w:rPr>
        <w:t>considerando os limites estabelecidos pelas Resoluções</w:t>
      </w:r>
      <w:r w:rsidR="00A64878" w:rsidRPr="0004492D">
        <w:rPr>
          <w:sz w:val="24"/>
          <w:szCs w:val="24"/>
        </w:rPr>
        <w:t xml:space="preserve"> do Senado Federal</w:t>
      </w:r>
      <w:r w:rsidRPr="0004492D">
        <w:rPr>
          <w:sz w:val="24"/>
          <w:szCs w:val="24"/>
        </w:rPr>
        <w:t xml:space="preserve"> de n</w:t>
      </w:r>
      <w:r w:rsidR="00A64878" w:rsidRPr="0004492D">
        <w:rPr>
          <w:sz w:val="24"/>
          <w:szCs w:val="24"/>
        </w:rPr>
        <w:t xml:space="preserve">ºs 40 e 43 de </w:t>
      </w:r>
      <w:r w:rsidR="00335839" w:rsidRPr="0004492D">
        <w:rPr>
          <w:sz w:val="24"/>
          <w:szCs w:val="24"/>
        </w:rPr>
        <w:t>2001</w:t>
      </w:r>
      <w:r w:rsidR="00A075D1">
        <w:rPr>
          <w:sz w:val="24"/>
          <w:szCs w:val="24"/>
        </w:rPr>
        <w:t xml:space="preserve">, cujo limite máximo do nível de </w:t>
      </w:r>
      <w:r w:rsidR="007E0B94">
        <w:rPr>
          <w:sz w:val="24"/>
          <w:szCs w:val="24"/>
        </w:rPr>
        <w:t xml:space="preserve">endividamento </w:t>
      </w:r>
      <w:r w:rsidR="00A075D1">
        <w:rPr>
          <w:sz w:val="24"/>
          <w:szCs w:val="24"/>
        </w:rPr>
        <w:t>para o Distrito Federal é de</w:t>
      </w:r>
      <w:r w:rsidR="007E0B94">
        <w:rPr>
          <w:sz w:val="24"/>
          <w:szCs w:val="24"/>
        </w:rPr>
        <w:t xml:space="preserve"> 200% </w:t>
      </w:r>
      <w:r w:rsidR="00A56E3A">
        <w:rPr>
          <w:sz w:val="24"/>
          <w:szCs w:val="24"/>
        </w:rPr>
        <w:t xml:space="preserve">da </w:t>
      </w:r>
      <w:r w:rsidR="007E0B94">
        <w:rPr>
          <w:sz w:val="24"/>
          <w:szCs w:val="24"/>
        </w:rPr>
        <w:t>RCL</w:t>
      </w:r>
      <w:r w:rsidR="00A64878" w:rsidRPr="0004492D">
        <w:rPr>
          <w:sz w:val="24"/>
          <w:szCs w:val="24"/>
        </w:rPr>
        <w:t xml:space="preserve">. </w:t>
      </w:r>
    </w:p>
    <w:p w:rsidR="00E452EF" w:rsidRDefault="00E452EF" w:rsidP="002F1D10">
      <w:pPr>
        <w:tabs>
          <w:tab w:val="left" w:pos="1701"/>
        </w:tabs>
        <w:spacing w:before="120" w:after="120" w:line="360" w:lineRule="auto"/>
        <w:ind w:firstLine="1418"/>
        <w:jc w:val="both"/>
        <w:rPr>
          <w:sz w:val="24"/>
          <w:szCs w:val="24"/>
        </w:rPr>
      </w:pPr>
    </w:p>
    <w:p w:rsidR="00E971BA" w:rsidRPr="00611A3C" w:rsidRDefault="00936371" w:rsidP="00611A3C">
      <w:pPr>
        <w:tabs>
          <w:tab w:val="left" w:pos="1701"/>
        </w:tabs>
        <w:spacing w:before="120" w:after="120" w:line="360" w:lineRule="auto"/>
        <w:jc w:val="both"/>
        <w:rPr>
          <w:b/>
          <w:sz w:val="24"/>
          <w:szCs w:val="24"/>
        </w:rPr>
      </w:pPr>
      <w:r w:rsidRPr="00A56E3A">
        <w:rPr>
          <w:b/>
          <w:sz w:val="24"/>
          <w:szCs w:val="24"/>
        </w:rPr>
        <w:t xml:space="preserve">DA </w:t>
      </w:r>
      <w:r w:rsidR="00E971BA" w:rsidRPr="00A56E3A">
        <w:rPr>
          <w:b/>
          <w:sz w:val="24"/>
          <w:szCs w:val="24"/>
        </w:rPr>
        <w:t xml:space="preserve">SITUAÇÃO </w:t>
      </w:r>
      <w:r w:rsidR="0029647A" w:rsidRPr="00A56E3A">
        <w:rPr>
          <w:b/>
          <w:sz w:val="24"/>
          <w:szCs w:val="24"/>
        </w:rPr>
        <w:t>DO ENDIVIDAMENTO DO DISTRITO FEDERAL</w:t>
      </w:r>
    </w:p>
    <w:p w:rsidR="005523D3" w:rsidRPr="0004492D" w:rsidRDefault="007A303C" w:rsidP="00611A3C">
      <w:pPr>
        <w:spacing w:before="120" w:after="120" w:line="360" w:lineRule="auto"/>
        <w:ind w:firstLine="1416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157359">
        <w:rPr>
          <w:sz w:val="24"/>
          <w:szCs w:val="24"/>
        </w:rPr>
        <w:t xml:space="preserve">m </w:t>
      </w:r>
      <w:r w:rsidR="00F2535F" w:rsidRPr="0004492D">
        <w:rPr>
          <w:sz w:val="24"/>
          <w:szCs w:val="24"/>
        </w:rPr>
        <w:t xml:space="preserve">relação aos níveis de endividamento, </w:t>
      </w:r>
      <w:r w:rsidR="005D3B82">
        <w:rPr>
          <w:sz w:val="24"/>
          <w:szCs w:val="24"/>
        </w:rPr>
        <w:t>o</w:t>
      </w:r>
      <w:r w:rsidRPr="0004492D">
        <w:rPr>
          <w:sz w:val="24"/>
          <w:szCs w:val="24"/>
        </w:rPr>
        <w:t xml:space="preserve"> Distrito Federal</w:t>
      </w:r>
      <w:r>
        <w:rPr>
          <w:sz w:val="24"/>
          <w:szCs w:val="24"/>
        </w:rPr>
        <w:t xml:space="preserve"> </w:t>
      </w:r>
      <w:r w:rsidR="00F2535F" w:rsidRPr="0004492D">
        <w:rPr>
          <w:sz w:val="24"/>
          <w:szCs w:val="24"/>
        </w:rPr>
        <w:t xml:space="preserve">aufere uma situação orçamentária e financeira bastante confortável, </w:t>
      </w:r>
      <w:r w:rsidR="005523D3" w:rsidRPr="0004492D">
        <w:rPr>
          <w:sz w:val="24"/>
          <w:szCs w:val="24"/>
        </w:rPr>
        <w:t>segun</w:t>
      </w:r>
      <w:r w:rsidR="00F2535F" w:rsidRPr="0004492D">
        <w:rPr>
          <w:sz w:val="24"/>
          <w:szCs w:val="24"/>
        </w:rPr>
        <w:t xml:space="preserve">do </w:t>
      </w:r>
      <w:r w:rsidR="0029647A" w:rsidRPr="0004492D">
        <w:rPr>
          <w:sz w:val="24"/>
          <w:szCs w:val="24"/>
        </w:rPr>
        <w:t>as limitações</w:t>
      </w:r>
      <w:r w:rsidR="00F2535F" w:rsidRPr="0004492D">
        <w:rPr>
          <w:sz w:val="24"/>
          <w:szCs w:val="24"/>
        </w:rPr>
        <w:t xml:space="preserve"> estabelecid</w:t>
      </w:r>
      <w:r w:rsidR="0029647A" w:rsidRPr="0004492D">
        <w:rPr>
          <w:sz w:val="24"/>
          <w:szCs w:val="24"/>
        </w:rPr>
        <w:t>a</w:t>
      </w:r>
      <w:r w:rsidR="00F2535F" w:rsidRPr="0004492D">
        <w:rPr>
          <w:sz w:val="24"/>
          <w:szCs w:val="24"/>
        </w:rPr>
        <w:t>s nas Resoluções</w:t>
      </w:r>
      <w:r w:rsidR="00B24A81" w:rsidRPr="0004492D">
        <w:rPr>
          <w:sz w:val="24"/>
          <w:szCs w:val="24"/>
        </w:rPr>
        <w:t xml:space="preserve"> </w:t>
      </w:r>
      <w:r w:rsidR="0029647A" w:rsidRPr="0004492D">
        <w:rPr>
          <w:sz w:val="24"/>
          <w:szCs w:val="24"/>
        </w:rPr>
        <w:t>do Senado Federal</w:t>
      </w:r>
      <w:r>
        <w:rPr>
          <w:sz w:val="24"/>
          <w:szCs w:val="24"/>
        </w:rPr>
        <w:t xml:space="preserve"> e o comportamento das receitas e despesas primárias</w:t>
      </w:r>
      <w:r w:rsidR="005D3B82">
        <w:rPr>
          <w:sz w:val="24"/>
          <w:szCs w:val="24"/>
        </w:rPr>
        <w:t>. Parâmetros estes que</w:t>
      </w:r>
      <w:r w:rsidR="005523D3" w:rsidRPr="0004492D">
        <w:rPr>
          <w:sz w:val="24"/>
          <w:szCs w:val="24"/>
        </w:rPr>
        <w:t xml:space="preserve"> </w:t>
      </w:r>
      <w:r w:rsidR="00F2535F" w:rsidRPr="00BD5A59">
        <w:rPr>
          <w:sz w:val="24"/>
          <w:szCs w:val="24"/>
        </w:rPr>
        <w:t>permite</w:t>
      </w:r>
      <w:r w:rsidR="005523D3" w:rsidRPr="00BD5A59">
        <w:rPr>
          <w:sz w:val="24"/>
          <w:szCs w:val="24"/>
        </w:rPr>
        <w:t xml:space="preserve">m </w:t>
      </w:r>
      <w:r w:rsidR="00F2535F" w:rsidRPr="00BD5A59">
        <w:rPr>
          <w:sz w:val="24"/>
          <w:szCs w:val="24"/>
        </w:rPr>
        <w:t>comprometer o nível</w:t>
      </w:r>
      <w:r w:rsidR="00936371" w:rsidRPr="00BD5A59">
        <w:rPr>
          <w:sz w:val="24"/>
          <w:szCs w:val="24"/>
        </w:rPr>
        <w:t xml:space="preserve"> de endividamento</w:t>
      </w:r>
      <w:r w:rsidR="00F2535F" w:rsidRPr="00BD5A59">
        <w:rPr>
          <w:sz w:val="24"/>
          <w:szCs w:val="24"/>
        </w:rPr>
        <w:t xml:space="preserve"> em até duas vezes o valor da Receita Corrente Líquida do </w:t>
      </w:r>
      <w:r w:rsidR="00936371" w:rsidRPr="00BD5A59">
        <w:rPr>
          <w:sz w:val="24"/>
          <w:szCs w:val="24"/>
        </w:rPr>
        <w:t>Distrito Federal</w:t>
      </w:r>
      <w:r w:rsidR="00F2535F" w:rsidRPr="00BD5A59">
        <w:rPr>
          <w:sz w:val="24"/>
          <w:szCs w:val="24"/>
        </w:rPr>
        <w:t xml:space="preserve">, </w:t>
      </w:r>
      <w:r w:rsidR="00A56E3A">
        <w:rPr>
          <w:sz w:val="24"/>
          <w:szCs w:val="24"/>
        </w:rPr>
        <w:t>cuja estimativa</w:t>
      </w:r>
      <w:r w:rsidR="00A075D1" w:rsidRPr="00BD5A59">
        <w:rPr>
          <w:sz w:val="24"/>
          <w:szCs w:val="24"/>
        </w:rPr>
        <w:t xml:space="preserve"> para o exercício de 201</w:t>
      </w:r>
      <w:r w:rsidR="00BD5A59" w:rsidRPr="00BD5A59">
        <w:rPr>
          <w:sz w:val="24"/>
          <w:szCs w:val="24"/>
        </w:rPr>
        <w:t>4</w:t>
      </w:r>
      <w:r w:rsidR="00A075D1" w:rsidRPr="00BD5A59">
        <w:rPr>
          <w:sz w:val="24"/>
          <w:szCs w:val="24"/>
        </w:rPr>
        <w:t xml:space="preserve"> alcança R$ </w:t>
      </w:r>
      <w:r w:rsidR="003679D7" w:rsidRPr="003A2CE9">
        <w:rPr>
          <w:sz w:val="24"/>
          <w:szCs w:val="24"/>
        </w:rPr>
        <w:t>1</w:t>
      </w:r>
      <w:r w:rsidR="002E3C45" w:rsidRPr="003A2CE9">
        <w:rPr>
          <w:sz w:val="24"/>
          <w:szCs w:val="24"/>
        </w:rPr>
        <w:t>6</w:t>
      </w:r>
      <w:r w:rsidR="003679D7" w:rsidRPr="003A2CE9">
        <w:rPr>
          <w:sz w:val="24"/>
          <w:szCs w:val="24"/>
        </w:rPr>
        <w:t>.</w:t>
      </w:r>
      <w:r w:rsidR="003A2CE9" w:rsidRPr="003A2CE9">
        <w:rPr>
          <w:sz w:val="24"/>
          <w:szCs w:val="24"/>
        </w:rPr>
        <w:t>627.172</w:t>
      </w:r>
      <w:r w:rsidR="00936371" w:rsidRPr="003A2CE9">
        <w:rPr>
          <w:sz w:val="24"/>
          <w:szCs w:val="24"/>
        </w:rPr>
        <w:t>.</w:t>
      </w:r>
      <w:r w:rsidR="003A2CE9" w:rsidRPr="003A2CE9">
        <w:rPr>
          <w:sz w:val="24"/>
          <w:szCs w:val="24"/>
        </w:rPr>
        <w:t>184,58</w:t>
      </w:r>
      <w:r w:rsidR="003A2CE9">
        <w:rPr>
          <w:sz w:val="24"/>
          <w:szCs w:val="24"/>
        </w:rPr>
        <w:t>.</w:t>
      </w:r>
      <w:r w:rsidR="00936371" w:rsidRPr="00BD5A59">
        <w:rPr>
          <w:sz w:val="24"/>
          <w:szCs w:val="24"/>
        </w:rPr>
        <w:t xml:space="preserve"> </w:t>
      </w:r>
      <w:r w:rsidR="005523D3" w:rsidRPr="00BD5A59">
        <w:rPr>
          <w:sz w:val="24"/>
          <w:szCs w:val="24"/>
        </w:rPr>
        <w:t>Significa dizer que o Distrito Federa</w:t>
      </w:r>
      <w:r w:rsidR="0029647A" w:rsidRPr="00BD5A59">
        <w:rPr>
          <w:sz w:val="24"/>
          <w:szCs w:val="24"/>
        </w:rPr>
        <w:t>l</w:t>
      </w:r>
      <w:r w:rsidR="005523D3" w:rsidRPr="00BD5A59">
        <w:rPr>
          <w:sz w:val="24"/>
          <w:szCs w:val="24"/>
        </w:rPr>
        <w:t xml:space="preserve"> poderá assumir um estoque da dívida </w:t>
      </w:r>
      <w:r w:rsidR="00A075D1" w:rsidRPr="00BD5A59">
        <w:rPr>
          <w:sz w:val="24"/>
          <w:szCs w:val="24"/>
        </w:rPr>
        <w:t>de até</w:t>
      </w:r>
      <w:r w:rsidR="005523D3" w:rsidRPr="00BD5A59">
        <w:rPr>
          <w:sz w:val="24"/>
          <w:szCs w:val="24"/>
        </w:rPr>
        <w:t xml:space="preserve"> R</w:t>
      </w:r>
      <w:r w:rsidR="005523D3" w:rsidRPr="003A2CE9">
        <w:rPr>
          <w:sz w:val="24"/>
          <w:szCs w:val="24"/>
        </w:rPr>
        <w:t xml:space="preserve">$ </w:t>
      </w:r>
      <w:r w:rsidR="003A2CE9">
        <w:rPr>
          <w:sz w:val="24"/>
          <w:szCs w:val="24"/>
        </w:rPr>
        <w:t>33.254.344.369,16.</w:t>
      </w:r>
    </w:p>
    <w:p w:rsidR="00257B47" w:rsidRPr="0004492D" w:rsidRDefault="00A075D1" w:rsidP="00611A3C">
      <w:pPr>
        <w:spacing w:before="120" w:after="120" w:line="360" w:lineRule="auto"/>
        <w:ind w:firstLine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Convém esclarecer </w:t>
      </w:r>
      <w:r w:rsidR="005D3B82">
        <w:rPr>
          <w:sz w:val="24"/>
          <w:szCs w:val="24"/>
        </w:rPr>
        <w:t>q</w:t>
      </w:r>
      <w:r w:rsidR="005523D3" w:rsidRPr="0004492D">
        <w:rPr>
          <w:sz w:val="24"/>
          <w:szCs w:val="24"/>
        </w:rPr>
        <w:t xml:space="preserve">ue o estoque da dívida é </w:t>
      </w:r>
      <w:r>
        <w:rPr>
          <w:sz w:val="24"/>
          <w:szCs w:val="24"/>
        </w:rPr>
        <w:t>a soma</w:t>
      </w:r>
      <w:r w:rsidR="005523D3" w:rsidRPr="0004492D">
        <w:rPr>
          <w:sz w:val="24"/>
          <w:szCs w:val="24"/>
        </w:rPr>
        <w:t xml:space="preserve"> dos comprometimentos trazidos a preços do exercício </w:t>
      </w:r>
      <w:smartTag w:uri="urn:schemas-microsoft-com:office:smarttags" w:element="PersonName">
        <w:smartTagPr>
          <w:attr w:name="ProductID" w:val="em refer￪ncia. N￣o"/>
        </w:smartTagPr>
        <w:r w:rsidR="005523D3" w:rsidRPr="0004492D">
          <w:rPr>
            <w:sz w:val="24"/>
            <w:szCs w:val="24"/>
          </w:rPr>
          <w:t>em referência. Não</w:t>
        </w:r>
      </w:smartTag>
      <w:r w:rsidR="005523D3" w:rsidRPr="0004492D">
        <w:rPr>
          <w:sz w:val="24"/>
          <w:szCs w:val="24"/>
        </w:rPr>
        <w:t xml:space="preserve"> significa, portanto, que o Estado tenha que honrar compromissos dessa magnitude num </w:t>
      </w:r>
      <w:r w:rsidR="008C22E5" w:rsidRPr="0004492D">
        <w:rPr>
          <w:sz w:val="24"/>
          <w:szCs w:val="24"/>
        </w:rPr>
        <w:t>só período orçamentário</w:t>
      </w:r>
      <w:r w:rsidR="00936371">
        <w:rPr>
          <w:sz w:val="24"/>
          <w:szCs w:val="24"/>
        </w:rPr>
        <w:t>,</w:t>
      </w:r>
      <w:r>
        <w:rPr>
          <w:sz w:val="24"/>
          <w:szCs w:val="24"/>
        </w:rPr>
        <w:t xml:space="preserve"> e</w:t>
      </w:r>
      <w:r w:rsidR="0093637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56E3A">
        <w:rPr>
          <w:sz w:val="24"/>
          <w:szCs w:val="24"/>
        </w:rPr>
        <w:t>sim, amortizá-los na medida pactuada e à luz da disponibilidade de caixa.</w:t>
      </w:r>
    </w:p>
    <w:p w:rsidR="00401B5D" w:rsidRDefault="00E4062A" w:rsidP="00401B5D">
      <w:pPr>
        <w:spacing w:before="120" w:after="120" w:line="360" w:lineRule="auto"/>
        <w:ind w:firstLine="1418"/>
        <w:jc w:val="both"/>
        <w:rPr>
          <w:sz w:val="24"/>
          <w:szCs w:val="24"/>
        </w:rPr>
      </w:pPr>
      <w:r w:rsidRPr="00222EB3">
        <w:rPr>
          <w:sz w:val="24"/>
          <w:szCs w:val="24"/>
        </w:rPr>
        <w:t>Para ilustrar esse entendimento, apresenta-se, a seguir, o comportamento dos fluxos de receita e despesa</w:t>
      </w:r>
      <w:r>
        <w:rPr>
          <w:sz w:val="24"/>
          <w:szCs w:val="24"/>
        </w:rPr>
        <w:t>,</w:t>
      </w:r>
      <w:r w:rsidRPr="00222EB3">
        <w:rPr>
          <w:sz w:val="24"/>
          <w:szCs w:val="24"/>
        </w:rPr>
        <w:t xml:space="preserve"> </w:t>
      </w:r>
      <w:r w:rsidR="00A56E3A">
        <w:rPr>
          <w:sz w:val="24"/>
          <w:szCs w:val="24"/>
        </w:rPr>
        <w:t>constante do</w:t>
      </w:r>
      <w:r w:rsidRPr="00222EB3">
        <w:rPr>
          <w:sz w:val="24"/>
          <w:szCs w:val="24"/>
        </w:rPr>
        <w:t xml:space="preserve"> Balanço O</w:t>
      </w:r>
      <w:r w:rsidR="002F1D10">
        <w:rPr>
          <w:sz w:val="24"/>
          <w:szCs w:val="24"/>
        </w:rPr>
        <w:t>rçamentário do Distrito Federal,</w:t>
      </w:r>
      <w:r w:rsidRPr="00222EB3">
        <w:rPr>
          <w:sz w:val="24"/>
          <w:szCs w:val="24"/>
        </w:rPr>
        <w:t xml:space="preserve"> relaciona</w:t>
      </w:r>
      <w:r>
        <w:rPr>
          <w:sz w:val="24"/>
          <w:szCs w:val="24"/>
        </w:rPr>
        <w:t>n</w:t>
      </w:r>
      <w:r w:rsidRPr="00222EB3">
        <w:rPr>
          <w:sz w:val="24"/>
          <w:szCs w:val="24"/>
        </w:rPr>
        <w:t xml:space="preserve">do </w:t>
      </w:r>
      <w:r>
        <w:rPr>
          <w:sz w:val="24"/>
          <w:szCs w:val="24"/>
        </w:rPr>
        <w:t>a</w:t>
      </w:r>
      <w:r w:rsidRPr="00222EB3">
        <w:rPr>
          <w:sz w:val="24"/>
          <w:szCs w:val="24"/>
        </w:rPr>
        <w:t xml:space="preserve"> execução fiscal nos três exercícios pretéritos</w:t>
      </w:r>
      <w:r>
        <w:rPr>
          <w:sz w:val="24"/>
          <w:szCs w:val="24"/>
        </w:rPr>
        <w:t xml:space="preserve"> e</w:t>
      </w:r>
      <w:r w:rsidRPr="00222EB3">
        <w:rPr>
          <w:sz w:val="24"/>
          <w:szCs w:val="24"/>
        </w:rPr>
        <w:t xml:space="preserve"> demonstrando</w:t>
      </w:r>
      <w:r w:rsidR="002F1D10">
        <w:rPr>
          <w:sz w:val="24"/>
          <w:szCs w:val="24"/>
        </w:rPr>
        <w:t>,</w:t>
      </w:r>
      <w:r>
        <w:rPr>
          <w:sz w:val="24"/>
          <w:szCs w:val="24"/>
        </w:rPr>
        <w:t xml:space="preserve"> ainda,</w:t>
      </w:r>
      <w:r w:rsidRPr="00222EB3">
        <w:rPr>
          <w:sz w:val="24"/>
          <w:szCs w:val="24"/>
        </w:rPr>
        <w:t xml:space="preserve"> um resultado</w:t>
      </w:r>
      <w:r>
        <w:rPr>
          <w:sz w:val="24"/>
          <w:szCs w:val="24"/>
        </w:rPr>
        <w:t>,</w:t>
      </w:r>
      <w:r w:rsidRPr="00222EB3">
        <w:rPr>
          <w:sz w:val="24"/>
          <w:szCs w:val="24"/>
        </w:rPr>
        <w:t xml:space="preserve"> </w:t>
      </w:r>
      <w:r w:rsidR="002F1D10">
        <w:rPr>
          <w:sz w:val="24"/>
          <w:szCs w:val="24"/>
        </w:rPr>
        <w:t>em 2012</w:t>
      </w:r>
      <w:r>
        <w:rPr>
          <w:sz w:val="24"/>
          <w:szCs w:val="24"/>
        </w:rPr>
        <w:t>,</w:t>
      </w:r>
      <w:r w:rsidRPr="00222EB3">
        <w:rPr>
          <w:sz w:val="24"/>
          <w:szCs w:val="24"/>
        </w:rPr>
        <w:t xml:space="preserve"> negativo </w:t>
      </w:r>
      <w:r w:rsidR="002F1D10">
        <w:rPr>
          <w:sz w:val="24"/>
          <w:szCs w:val="24"/>
        </w:rPr>
        <w:t>que, no entanto,</w:t>
      </w:r>
      <w:r w:rsidR="00A56E3A">
        <w:rPr>
          <w:sz w:val="24"/>
          <w:szCs w:val="24"/>
        </w:rPr>
        <w:t xml:space="preserve"> </w:t>
      </w:r>
      <w:r w:rsidRPr="00222EB3">
        <w:rPr>
          <w:sz w:val="24"/>
          <w:szCs w:val="24"/>
        </w:rPr>
        <w:t>coberto com recursos oriundos de superávit financeiro apurado no balanço do exercício anterior</w:t>
      </w:r>
      <w:r>
        <w:rPr>
          <w:sz w:val="24"/>
          <w:szCs w:val="24"/>
        </w:rPr>
        <w:t>, resultando, com isso, um montante real de R</w:t>
      </w:r>
      <w:r w:rsidRPr="002F1D10">
        <w:rPr>
          <w:sz w:val="24"/>
          <w:szCs w:val="24"/>
        </w:rPr>
        <w:t xml:space="preserve">$ </w:t>
      </w:r>
      <w:r w:rsidR="002F1D10" w:rsidRPr="002F1D10">
        <w:rPr>
          <w:sz w:val="24"/>
          <w:szCs w:val="24"/>
        </w:rPr>
        <w:t>672.124.618</w:t>
      </w:r>
      <w:r w:rsidRPr="002F1D10">
        <w:rPr>
          <w:sz w:val="24"/>
          <w:szCs w:val="24"/>
        </w:rPr>
        <w:t>,00.</w:t>
      </w:r>
      <w:r>
        <w:rPr>
          <w:sz w:val="24"/>
          <w:szCs w:val="24"/>
        </w:rPr>
        <w:t xml:space="preserve"> Vale destacar nos quadros a seguir </w:t>
      </w:r>
      <w:r w:rsidR="00936371">
        <w:rPr>
          <w:sz w:val="24"/>
          <w:szCs w:val="24"/>
        </w:rPr>
        <w:t xml:space="preserve">o comportamento da execução orçamentária e financeira, em especial o nível de comprometimento da dívida em relação à receita corrente líquida.  </w:t>
      </w:r>
    </w:p>
    <w:p w:rsidR="00853FD2" w:rsidRDefault="00853FD2" w:rsidP="00401B5D">
      <w:pPr>
        <w:spacing w:before="120" w:after="120" w:line="360" w:lineRule="auto"/>
        <w:ind w:firstLine="1418"/>
        <w:jc w:val="both"/>
        <w:rPr>
          <w:sz w:val="24"/>
          <w:szCs w:val="24"/>
        </w:rPr>
      </w:pPr>
    </w:p>
    <w:p w:rsidR="00101311" w:rsidRPr="0004492D" w:rsidRDefault="00101311" w:rsidP="00401B5D">
      <w:pPr>
        <w:spacing w:before="120" w:after="120" w:line="360" w:lineRule="auto"/>
        <w:jc w:val="center"/>
        <w:rPr>
          <w:sz w:val="24"/>
          <w:szCs w:val="24"/>
        </w:rPr>
      </w:pPr>
      <w:r w:rsidRPr="0004492D">
        <w:rPr>
          <w:b/>
          <w:sz w:val="24"/>
          <w:szCs w:val="24"/>
        </w:rPr>
        <w:t>BALANÇO</w:t>
      </w:r>
      <w:r w:rsidR="00D11262">
        <w:rPr>
          <w:b/>
          <w:sz w:val="24"/>
          <w:szCs w:val="24"/>
        </w:rPr>
        <w:t>S</w:t>
      </w:r>
      <w:r w:rsidRPr="0004492D">
        <w:rPr>
          <w:b/>
          <w:sz w:val="24"/>
          <w:szCs w:val="24"/>
        </w:rPr>
        <w:t xml:space="preserve"> ORÇAMENTÁRIO</w:t>
      </w:r>
      <w:r w:rsidR="00D11262">
        <w:rPr>
          <w:b/>
          <w:sz w:val="24"/>
          <w:szCs w:val="24"/>
        </w:rPr>
        <w:t>S</w:t>
      </w:r>
    </w:p>
    <w:p w:rsidR="009B7BD3" w:rsidRPr="0004492D" w:rsidRDefault="00FE612A" w:rsidP="00FE612A">
      <w:pPr>
        <w:ind w:firstLine="1416"/>
        <w:jc w:val="right"/>
        <w:rPr>
          <w:sz w:val="24"/>
          <w:szCs w:val="24"/>
        </w:rPr>
      </w:pPr>
      <w:r w:rsidRPr="0004492D">
        <w:rPr>
          <w:sz w:val="24"/>
          <w:szCs w:val="24"/>
        </w:rPr>
        <w:t>Em R$ 1,00</w:t>
      </w: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9"/>
        <w:gridCol w:w="1560"/>
        <w:gridCol w:w="1559"/>
        <w:gridCol w:w="1559"/>
        <w:gridCol w:w="1591"/>
      </w:tblGrid>
      <w:tr w:rsidR="009B7BD3" w:rsidRPr="0004492D" w:rsidTr="003679D7">
        <w:tc>
          <w:tcPr>
            <w:tcW w:w="3652" w:type="dxa"/>
            <w:gridSpan w:val="2"/>
            <w:shd w:val="pct15" w:color="auto" w:fill="auto"/>
          </w:tcPr>
          <w:p w:rsidR="009B7BD3" w:rsidRPr="0004492D" w:rsidRDefault="009B7BD3" w:rsidP="00EF160E">
            <w:pPr>
              <w:jc w:val="center"/>
              <w:rPr>
                <w:b/>
                <w:sz w:val="24"/>
                <w:szCs w:val="24"/>
              </w:rPr>
            </w:pPr>
            <w:r w:rsidRPr="0004492D">
              <w:rPr>
                <w:b/>
                <w:sz w:val="24"/>
                <w:szCs w:val="24"/>
              </w:rPr>
              <w:lastRenderedPageBreak/>
              <w:t>20</w:t>
            </w:r>
            <w:r w:rsidR="00EF160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119" w:type="dxa"/>
            <w:gridSpan w:val="2"/>
            <w:shd w:val="pct15" w:color="auto" w:fill="auto"/>
          </w:tcPr>
          <w:p w:rsidR="009B7BD3" w:rsidRPr="0004492D" w:rsidRDefault="002E3C45" w:rsidP="00EF16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EF160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50" w:type="dxa"/>
            <w:gridSpan w:val="2"/>
            <w:shd w:val="pct15" w:color="auto" w:fill="auto"/>
          </w:tcPr>
          <w:p w:rsidR="009B7BD3" w:rsidRPr="0004492D" w:rsidRDefault="002E3C45" w:rsidP="006849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EF160E">
              <w:rPr>
                <w:b/>
                <w:sz w:val="24"/>
                <w:szCs w:val="24"/>
              </w:rPr>
              <w:t>2</w:t>
            </w:r>
          </w:p>
        </w:tc>
      </w:tr>
      <w:tr w:rsidR="00E913DA" w:rsidRPr="0004492D" w:rsidTr="00A56E3A">
        <w:tc>
          <w:tcPr>
            <w:tcW w:w="2093" w:type="dxa"/>
          </w:tcPr>
          <w:p w:rsidR="00E913DA" w:rsidRPr="0004492D" w:rsidRDefault="00D11262" w:rsidP="00D518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Receita </w:t>
            </w:r>
            <w:r w:rsidR="00E913DA" w:rsidRPr="0004492D">
              <w:rPr>
                <w:b/>
                <w:sz w:val="24"/>
                <w:szCs w:val="24"/>
              </w:rPr>
              <w:t>Prevista</w:t>
            </w:r>
          </w:p>
        </w:tc>
        <w:tc>
          <w:tcPr>
            <w:tcW w:w="1559" w:type="dxa"/>
          </w:tcPr>
          <w:p w:rsidR="00E913DA" w:rsidRPr="0004492D" w:rsidRDefault="00E913DA" w:rsidP="00D5181F">
            <w:pPr>
              <w:jc w:val="center"/>
              <w:rPr>
                <w:b/>
                <w:sz w:val="24"/>
                <w:szCs w:val="24"/>
              </w:rPr>
            </w:pPr>
            <w:r w:rsidRPr="0004492D">
              <w:rPr>
                <w:b/>
                <w:sz w:val="24"/>
                <w:szCs w:val="24"/>
              </w:rPr>
              <w:t>Realizada</w:t>
            </w:r>
          </w:p>
        </w:tc>
        <w:tc>
          <w:tcPr>
            <w:tcW w:w="1560" w:type="dxa"/>
          </w:tcPr>
          <w:p w:rsidR="00E913DA" w:rsidRPr="0004492D" w:rsidRDefault="00E913DA" w:rsidP="00D5181F">
            <w:pPr>
              <w:jc w:val="center"/>
              <w:rPr>
                <w:b/>
                <w:sz w:val="24"/>
                <w:szCs w:val="24"/>
              </w:rPr>
            </w:pPr>
            <w:r w:rsidRPr="0004492D">
              <w:rPr>
                <w:b/>
                <w:sz w:val="24"/>
                <w:szCs w:val="24"/>
              </w:rPr>
              <w:t>Prevista</w:t>
            </w:r>
          </w:p>
        </w:tc>
        <w:tc>
          <w:tcPr>
            <w:tcW w:w="1559" w:type="dxa"/>
          </w:tcPr>
          <w:p w:rsidR="00E913DA" w:rsidRPr="0004492D" w:rsidRDefault="00E913DA" w:rsidP="00D5181F">
            <w:pPr>
              <w:jc w:val="center"/>
              <w:rPr>
                <w:b/>
                <w:sz w:val="24"/>
                <w:szCs w:val="24"/>
              </w:rPr>
            </w:pPr>
            <w:r w:rsidRPr="0004492D">
              <w:rPr>
                <w:b/>
                <w:sz w:val="24"/>
                <w:szCs w:val="24"/>
              </w:rPr>
              <w:t>Realizada</w:t>
            </w:r>
          </w:p>
        </w:tc>
        <w:tc>
          <w:tcPr>
            <w:tcW w:w="1559" w:type="dxa"/>
          </w:tcPr>
          <w:p w:rsidR="00E913DA" w:rsidRPr="0004492D" w:rsidRDefault="00E913DA" w:rsidP="00D5181F">
            <w:pPr>
              <w:jc w:val="center"/>
              <w:rPr>
                <w:b/>
                <w:sz w:val="24"/>
                <w:szCs w:val="24"/>
              </w:rPr>
            </w:pPr>
            <w:r w:rsidRPr="0004492D">
              <w:rPr>
                <w:b/>
                <w:sz w:val="24"/>
                <w:szCs w:val="24"/>
              </w:rPr>
              <w:t>Prevista</w:t>
            </w:r>
          </w:p>
        </w:tc>
        <w:tc>
          <w:tcPr>
            <w:tcW w:w="1591" w:type="dxa"/>
          </w:tcPr>
          <w:p w:rsidR="00E913DA" w:rsidRPr="0004492D" w:rsidRDefault="00E913DA" w:rsidP="00D5181F">
            <w:pPr>
              <w:jc w:val="center"/>
              <w:rPr>
                <w:b/>
                <w:sz w:val="24"/>
                <w:szCs w:val="24"/>
              </w:rPr>
            </w:pPr>
            <w:r w:rsidRPr="0004492D">
              <w:rPr>
                <w:b/>
                <w:sz w:val="24"/>
                <w:szCs w:val="24"/>
              </w:rPr>
              <w:t>Realizada</w:t>
            </w:r>
          </w:p>
        </w:tc>
      </w:tr>
      <w:tr w:rsidR="00EF160E" w:rsidRPr="0004492D" w:rsidTr="00A56E3A">
        <w:tc>
          <w:tcPr>
            <w:tcW w:w="2093" w:type="dxa"/>
          </w:tcPr>
          <w:p w:rsidR="00EF160E" w:rsidRPr="0004492D" w:rsidRDefault="00EF160E" w:rsidP="002E3C45">
            <w:pPr>
              <w:jc w:val="both"/>
            </w:pPr>
            <w:r>
              <w:t>14.391.011.441</w:t>
            </w:r>
          </w:p>
        </w:tc>
        <w:tc>
          <w:tcPr>
            <w:tcW w:w="1559" w:type="dxa"/>
          </w:tcPr>
          <w:p w:rsidR="00EF160E" w:rsidRPr="0004492D" w:rsidRDefault="00455A62" w:rsidP="002E3C45">
            <w:pPr>
              <w:jc w:val="right"/>
            </w:pPr>
            <w:r>
              <w:t>12.544.313.</w:t>
            </w:r>
            <w:r w:rsidR="00A56E3A">
              <w:t>476</w:t>
            </w:r>
          </w:p>
        </w:tc>
        <w:tc>
          <w:tcPr>
            <w:tcW w:w="1560" w:type="dxa"/>
          </w:tcPr>
          <w:p w:rsidR="00EF160E" w:rsidRPr="0004492D" w:rsidRDefault="00EF160E" w:rsidP="009A4F4B">
            <w:pPr>
              <w:jc w:val="both"/>
            </w:pPr>
            <w:r>
              <w:t>16.</w:t>
            </w:r>
            <w:r w:rsidR="009A4F4B">
              <w:t>666.035.944</w:t>
            </w:r>
          </w:p>
        </w:tc>
        <w:tc>
          <w:tcPr>
            <w:tcW w:w="1559" w:type="dxa"/>
          </w:tcPr>
          <w:p w:rsidR="00EF160E" w:rsidRPr="0004492D" w:rsidRDefault="00915EF2" w:rsidP="00EF160E">
            <w:pPr>
              <w:jc w:val="right"/>
            </w:pPr>
            <w:r>
              <w:t>13.859.350.986</w:t>
            </w:r>
          </w:p>
        </w:tc>
        <w:tc>
          <w:tcPr>
            <w:tcW w:w="1559" w:type="dxa"/>
          </w:tcPr>
          <w:p w:rsidR="00EF160E" w:rsidRPr="0004492D" w:rsidRDefault="005876EF" w:rsidP="00D5181F">
            <w:pPr>
              <w:jc w:val="both"/>
            </w:pPr>
            <w:r>
              <w:t>18.145</w:t>
            </w:r>
            <w:r w:rsidR="009A4F4B">
              <w:t>.328.896</w:t>
            </w:r>
          </w:p>
        </w:tc>
        <w:tc>
          <w:tcPr>
            <w:tcW w:w="1591" w:type="dxa"/>
          </w:tcPr>
          <w:p w:rsidR="00EF160E" w:rsidRPr="0004492D" w:rsidRDefault="005876EF" w:rsidP="00D5181F">
            <w:pPr>
              <w:jc w:val="right"/>
            </w:pPr>
            <w:r>
              <w:t>15.699.469.122</w:t>
            </w:r>
          </w:p>
        </w:tc>
      </w:tr>
      <w:tr w:rsidR="002E3C45" w:rsidRPr="0004492D" w:rsidTr="00A56E3A">
        <w:tc>
          <w:tcPr>
            <w:tcW w:w="2093" w:type="dxa"/>
          </w:tcPr>
          <w:p w:rsidR="002E3C45" w:rsidRPr="0004492D" w:rsidRDefault="00A56E3A" w:rsidP="002E3C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Dotação Autorizada</w:t>
            </w:r>
          </w:p>
        </w:tc>
        <w:tc>
          <w:tcPr>
            <w:tcW w:w="1559" w:type="dxa"/>
          </w:tcPr>
          <w:p w:rsidR="002E3C45" w:rsidRPr="0004492D" w:rsidRDefault="002E3C45" w:rsidP="00A56E3A">
            <w:pPr>
              <w:jc w:val="center"/>
              <w:rPr>
                <w:b/>
                <w:sz w:val="24"/>
                <w:szCs w:val="24"/>
              </w:rPr>
            </w:pPr>
            <w:r w:rsidRPr="0004492D">
              <w:rPr>
                <w:b/>
                <w:sz w:val="24"/>
                <w:szCs w:val="24"/>
              </w:rPr>
              <w:t>Realizada</w:t>
            </w:r>
          </w:p>
        </w:tc>
        <w:tc>
          <w:tcPr>
            <w:tcW w:w="1560" w:type="dxa"/>
          </w:tcPr>
          <w:p w:rsidR="002E3C45" w:rsidRPr="0004492D" w:rsidRDefault="00A56E3A" w:rsidP="00A56E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Autorizada</w:t>
            </w:r>
          </w:p>
        </w:tc>
        <w:tc>
          <w:tcPr>
            <w:tcW w:w="1559" w:type="dxa"/>
          </w:tcPr>
          <w:p w:rsidR="002E3C45" w:rsidRPr="0004492D" w:rsidRDefault="002E3C45" w:rsidP="00A56E3A">
            <w:pPr>
              <w:jc w:val="center"/>
              <w:rPr>
                <w:b/>
                <w:sz w:val="24"/>
                <w:szCs w:val="24"/>
              </w:rPr>
            </w:pPr>
            <w:r w:rsidRPr="0004492D">
              <w:rPr>
                <w:b/>
                <w:sz w:val="24"/>
                <w:szCs w:val="24"/>
              </w:rPr>
              <w:t>Realizada</w:t>
            </w:r>
          </w:p>
        </w:tc>
        <w:tc>
          <w:tcPr>
            <w:tcW w:w="1559" w:type="dxa"/>
          </w:tcPr>
          <w:p w:rsidR="002E3C45" w:rsidRPr="0004492D" w:rsidRDefault="00A56E3A" w:rsidP="00A56E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Autorizada</w:t>
            </w:r>
          </w:p>
        </w:tc>
        <w:tc>
          <w:tcPr>
            <w:tcW w:w="1591" w:type="dxa"/>
          </w:tcPr>
          <w:p w:rsidR="002E3C45" w:rsidRPr="0004492D" w:rsidRDefault="002E3C45" w:rsidP="00A56E3A">
            <w:pPr>
              <w:jc w:val="center"/>
              <w:rPr>
                <w:b/>
                <w:sz w:val="24"/>
                <w:szCs w:val="24"/>
              </w:rPr>
            </w:pPr>
            <w:r w:rsidRPr="0004492D">
              <w:rPr>
                <w:b/>
                <w:sz w:val="24"/>
                <w:szCs w:val="24"/>
              </w:rPr>
              <w:t>Realizada</w:t>
            </w:r>
          </w:p>
        </w:tc>
      </w:tr>
      <w:tr w:rsidR="00EF160E" w:rsidRPr="0004492D" w:rsidTr="00A56E3A">
        <w:tc>
          <w:tcPr>
            <w:tcW w:w="2093" w:type="dxa"/>
          </w:tcPr>
          <w:p w:rsidR="00EF160E" w:rsidRPr="0004492D" w:rsidRDefault="00EF160E" w:rsidP="002E3C45">
            <w:pPr>
              <w:jc w:val="both"/>
            </w:pPr>
            <w:r>
              <w:t>15.337.855.761</w:t>
            </w:r>
          </w:p>
        </w:tc>
        <w:tc>
          <w:tcPr>
            <w:tcW w:w="1559" w:type="dxa"/>
          </w:tcPr>
          <w:p w:rsidR="00EF160E" w:rsidRPr="0004492D" w:rsidRDefault="00EF160E" w:rsidP="002E3C45">
            <w:pPr>
              <w:jc w:val="right"/>
            </w:pPr>
            <w:r>
              <w:t>12.272.738.583</w:t>
            </w:r>
          </w:p>
        </w:tc>
        <w:tc>
          <w:tcPr>
            <w:tcW w:w="1560" w:type="dxa"/>
          </w:tcPr>
          <w:p w:rsidR="00EF160E" w:rsidRPr="0004492D" w:rsidRDefault="00EF160E" w:rsidP="00EF160E">
            <w:pPr>
              <w:jc w:val="both"/>
            </w:pPr>
            <w:r>
              <w:t>18.059.817.269</w:t>
            </w:r>
          </w:p>
        </w:tc>
        <w:tc>
          <w:tcPr>
            <w:tcW w:w="1559" w:type="dxa"/>
          </w:tcPr>
          <w:p w:rsidR="00EF160E" w:rsidRPr="0004492D" w:rsidRDefault="00EF160E" w:rsidP="00EF160E">
            <w:pPr>
              <w:jc w:val="right"/>
            </w:pPr>
            <w:r>
              <w:t>13.808.066.434</w:t>
            </w:r>
          </w:p>
        </w:tc>
        <w:tc>
          <w:tcPr>
            <w:tcW w:w="1559" w:type="dxa"/>
          </w:tcPr>
          <w:p w:rsidR="00EF160E" w:rsidRPr="0004492D" w:rsidRDefault="007E6CFA" w:rsidP="00D5181F">
            <w:pPr>
              <w:jc w:val="both"/>
            </w:pPr>
            <w:r>
              <w:t>19.668.345.204</w:t>
            </w:r>
          </w:p>
        </w:tc>
        <w:tc>
          <w:tcPr>
            <w:tcW w:w="1591" w:type="dxa"/>
          </w:tcPr>
          <w:p w:rsidR="00EF160E" w:rsidRPr="0004492D" w:rsidRDefault="007E6CFA" w:rsidP="005876EF">
            <w:pPr>
              <w:jc w:val="right"/>
            </w:pPr>
            <w:r>
              <w:t>15.817.</w:t>
            </w:r>
            <w:r w:rsidR="005876EF">
              <w:t>455.964</w:t>
            </w:r>
          </w:p>
        </w:tc>
      </w:tr>
      <w:tr w:rsidR="003679D7" w:rsidRPr="0004492D" w:rsidTr="00A56E3A">
        <w:tc>
          <w:tcPr>
            <w:tcW w:w="2093" w:type="dxa"/>
          </w:tcPr>
          <w:p w:rsidR="003679D7" w:rsidRPr="0004492D" w:rsidRDefault="003679D7" w:rsidP="006849E3">
            <w:pPr>
              <w:jc w:val="both"/>
            </w:pPr>
          </w:p>
        </w:tc>
        <w:tc>
          <w:tcPr>
            <w:tcW w:w="1559" w:type="dxa"/>
          </w:tcPr>
          <w:p w:rsidR="003679D7" w:rsidRPr="0004492D" w:rsidRDefault="003679D7" w:rsidP="006849E3">
            <w:pPr>
              <w:jc w:val="both"/>
            </w:pPr>
          </w:p>
        </w:tc>
        <w:tc>
          <w:tcPr>
            <w:tcW w:w="1560" w:type="dxa"/>
          </w:tcPr>
          <w:p w:rsidR="003679D7" w:rsidRPr="0004492D" w:rsidRDefault="003679D7" w:rsidP="006849E3">
            <w:pPr>
              <w:jc w:val="both"/>
            </w:pPr>
          </w:p>
        </w:tc>
        <w:tc>
          <w:tcPr>
            <w:tcW w:w="1559" w:type="dxa"/>
          </w:tcPr>
          <w:p w:rsidR="003679D7" w:rsidRPr="0004492D" w:rsidRDefault="003679D7" w:rsidP="006849E3">
            <w:pPr>
              <w:jc w:val="both"/>
            </w:pPr>
          </w:p>
        </w:tc>
        <w:tc>
          <w:tcPr>
            <w:tcW w:w="1559" w:type="dxa"/>
          </w:tcPr>
          <w:p w:rsidR="003679D7" w:rsidRPr="0004492D" w:rsidRDefault="003679D7" w:rsidP="006849E3">
            <w:pPr>
              <w:jc w:val="both"/>
            </w:pPr>
          </w:p>
        </w:tc>
        <w:tc>
          <w:tcPr>
            <w:tcW w:w="1591" w:type="dxa"/>
          </w:tcPr>
          <w:p w:rsidR="003679D7" w:rsidRPr="0004492D" w:rsidRDefault="003679D7" w:rsidP="006849E3">
            <w:pPr>
              <w:jc w:val="both"/>
            </w:pPr>
          </w:p>
        </w:tc>
      </w:tr>
      <w:tr w:rsidR="00EF160E" w:rsidRPr="0004492D" w:rsidTr="00A56E3A">
        <w:tc>
          <w:tcPr>
            <w:tcW w:w="2093" w:type="dxa"/>
          </w:tcPr>
          <w:p w:rsidR="00EF160E" w:rsidRPr="0004492D" w:rsidRDefault="00EF160E" w:rsidP="004F11F0">
            <w:pPr>
              <w:rPr>
                <w:b/>
              </w:rPr>
            </w:pPr>
            <w:r w:rsidRPr="0004492D">
              <w:rPr>
                <w:b/>
              </w:rPr>
              <w:t>Saldo</w:t>
            </w:r>
          </w:p>
        </w:tc>
        <w:tc>
          <w:tcPr>
            <w:tcW w:w="1559" w:type="dxa"/>
          </w:tcPr>
          <w:p w:rsidR="00EF160E" w:rsidRPr="00415D00" w:rsidRDefault="00A56E3A" w:rsidP="00EF16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271.574.893</w:t>
            </w:r>
          </w:p>
        </w:tc>
        <w:tc>
          <w:tcPr>
            <w:tcW w:w="1560" w:type="dxa"/>
          </w:tcPr>
          <w:p w:rsidR="00EF160E" w:rsidRPr="0004492D" w:rsidRDefault="00EF160E" w:rsidP="002E3C45">
            <w:pPr>
              <w:jc w:val="both"/>
            </w:pPr>
          </w:p>
        </w:tc>
        <w:tc>
          <w:tcPr>
            <w:tcW w:w="1559" w:type="dxa"/>
          </w:tcPr>
          <w:p w:rsidR="007E6CFA" w:rsidRPr="00415D00" w:rsidRDefault="00915EF2" w:rsidP="007E6C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51.284.552</w:t>
            </w:r>
          </w:p>
        </w:tc>
        <w:tc>
          <w:tcPr>
            <w:tcW w:w="1559" w:type="dxa"/>
          </w:tcPr>
          <w:p w:rsidR="00EF160E" w:rsidRPr="0004492D" w:rsidRDefault="00EF160E" w:rsidP="006849E3">
            <w:pPr>
              <w:jc w:val="both"/>
            </w:pPr>
          </w:p>
        </w:tc>
        <w:tc>
          <w:tcPr>
            <w:tcW w:w="1591" w:type="dxa"/>
          </w:tcPr>
          <w:p w:rsidR="00EF160E" w:rsidRPr="00415D00" w:rsidRDefault="005876EF" w:rsidP="004A7BA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-117.986.842</w:t>
            </w:r>
          </w:p>
        </w:tc>
      </w:tr>
      <w:tr w:rsidR="00EF160E" w:rsidRPr="0004492D" w:rsidTr="00A56E3A">
        <w:tc>
          <w:tcPr>
            <w:tcW w:w="2093" w:type="dxa"/>
          </w:tcPr>
          <w:p w:rsidR="00EF160E" w:rsidRPr="004F11F0" w:rsidRDefault="00955E59" w:rsidP="000F521F">
            <w:pPr>
              <w:jc w:val="both"/>
              <w:rPr>
                <w:b/>
              </w:rPr>
            </w:pPr>
            <w:r>
              <w:rPr>
                <w:b/>
              </w:rPr>
              <w:t>Resultado</w:t>
            </w:r>
            <w:r w:rsidR="00EF160E" w:rsidRPr="004F11F0">
              <w:rPr>
                <w:b/>
              </w:rPr>
              <w:t xml:space="preserve"> Financeiro</w:t>
            </w:r>
          </w:p>
        </w:tc>
        <w:tc>
          <w:tcPr>
            <w:tcW w:w="1559" w:type="dxa"/>
          </w:tcPr>
          <w:p w:rsidR="00EF160E" w:rsidRPr="005876EF" w:rsidRDefault="00EF160E" w:rsidP="00EF160E">
            <w:pPr>
              <w:jc w:val="right"/>
              <w:rPr>
                <w:sz w:val="22"/>
                <w:szCs w:val="22"/>
              </w:rPr>
            </w:pPr>
            <w:r w:rsidRPr="005876EF">
              <w:rPr>
                <w:sz w:val="22"/>
                <w:szCs w:val="22"/>
              </w:rPr>
              <w:t>612.156.508</w:t>
            </w:r>
          </w:p>
        </w:tc>
        <w:tc>
          <w:tcPr>
            <w:tcW w:w="1560" w:type="dxa"/>
          </w:tcPr>
          <w:p w:rsidR="00EF160E" w:rsidRPr="0004492D" w:rsidRDefault="00EF160E" w:rsidP="002E3C45">
            <w:pPr>
              <w:jc w:val="both"/>
            </w:pPr>
          </w:p>
        </w:tc>
        <w:tc>
          <w:tcPr>
            <w:tcW w:w="1559" w:type="dxa"/>
          </w:tcPr>
          <w:p w:rsidR="00EF160E" w:rsidRPr="00415D00" w:rsidRDefault="00EF160E" w:rsidP="00EF16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665.461.755</w:t>
            </w:r>
          </w:p>
        </w:tc>
        <w:tc>
          <w:tcPr>
            <w:tcW w:w="1559" w:type="dxa"/>
          </w:tcPr>
          <w:p w:rsidR="00EF160E" w:rsidRPr="0004492D" w:rsidRDefault="00EF160E" w:rsidP="006849E3">
            <w:pPr>
              <w:jc w:val="both"/>
            </w:pPr>
          </w:p>
        </w:tc>
        <w:tc>
          <w:tcPr>
            <w:tcW w:w="1591" w:type="dxa"/>
          </w:tcPr>
          <w:p w:rsidR="00EF160E" w:rsidRPr="00415D00" w:rsidRDefault="00A56E3A" w:rsidP="000F52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790.111.460</w:t>
            </w:r>
          </w:p>
        </w:tc>
      </w:tr>
      <w:tr w:rsidR="00EF160E" w:rsidRPr="0004492D" w:rsidTr="00A56E3A">
        <w:tc>
          <w:tcPr>
            <w:tcW w:w="2093" w:type="dxa"/>
          </w:tcPr>
          <w:p w:rsidR="00EF160E" w:rsidRPr="004F11F0" w:rsidRDefault="00EF160E" w:rsidP="000F521F">
            <w:pPr>
              <w:jc w:val="both"/>
              <w:rPr>
                <w:b/>
                <w:sz w:val="22"/>
                <w:szCs w:val="22"/>
              </w:rPr>
            </w:pPr>
            <w:r w:rsidRPr="004F11F0">
              <w:rPr>
                <w:b/>
                <w:sz w:val="22"/>
                <w:szCs w:val="22"/>
              </w:rPr>
              <w:t>Resultado Real</w:t>
            </w:r>
          </w:p>
        </w:tc>
        <w:tc>
          <w:tcPr>
            <w:tcW w:w="1559" w:type="dxa"/>
          </w:tcPr>
          <w:p w:rsidR="00EF160E" w:rsidRPr="005876EF" w:rsidRDefault="00EF160E" w:rsidP="00EF160E">
            <w:pPr>
              <w:jc w:val="right"/>
              <w:rPr>
                <w:sz w:val="22"/>
                <w:szCs w:val="22"/>
              </w:rPr>
            </w:pPr>
            <w:r w:rsidRPr="005876EF">
              <w:rPr>
                <w:sz w:val="22"/>
                <w:szCs w:val="22"/>
              </w:rPr>
              <w:t>883.731.402</w:t>
            </w:r>
          </w:p>
        </w:tc>
        <w:tc>
          <w:tcPr>
            <w:tcW w:w="1560" w:type="dxa"/>
          </w:tcPr>
          <w:p w:rsidR="00EF160E" w:rsidRPr="0004492D" w:rsidRDefault="00EF160E" w:rsidP="002E3C45">
            <w:pPr>
              <w:jc w:val="both"/>
            </w:pPr>
          </w:p>
        </w:tc>
        <w:tc>
          <w:tcPr>
            <w:tcW w:w="1559" w:type="dxa"/>
          </w:tcPr>
          <w:p w:rsidR="00EF160E" w:rsidRPr="00415D00" w:rsidRDefault="00EF160E" w:rsidP="00EF16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716.746.306</w:t>
            </w:r>
          </w:p>
        </w:tc>
        <w:tc>
          <w:tcPr>
            <w:tcW w:w="1559" w:type="dxa"/>
          </w:tcPr>
          <w:p w:rsidR="00EF160E" w:rsidRPr="0004492D" w:rsidRDefault="00EF160E" w:rsidP="006849E3">
            <w:pPr>
              <w:jc w:val="both"/>
            </w:pPr>
          </w:p>
        </w:tc>
        <w:tc>
          <w:tcPr>
            <w:tcW w:w="1591" w:type="dxa"/>
          </w:tcPr>
          <w:p w:rsidR="00EF160E" w:rsidRPr="00415D00" w:rsidRDefault="005876EF" w:rsidP="00415D0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672.124.618</w:t>
            </w:r>
          </w:p>
        </w:tc>
      </w:tr>
    </w:tbl>
    <w:p w:rsidR="00D4742A" w:rsidRPr="0004492D" w:rsidRDefault="00D4742A" w:rsidP="00611A3C">
      <w:pPr>
        <w:spacing w:after="120"/>
      </w:pPr>
      <w:r w:rsidRPr="0004492D">
        <w:t>Fonte:</w:t>
      </w:r>
      <w:proofErr w:type="gramStart"/>
      <w:r w:rsidRPr="0004492D">
        <w:t xml:space="preserve">  </w:t>
      </w:r>
      <w:proofErr w:type="gramEnd"/>
      <w:r w:rsidRPr="0004492D">
        <w:t>Bal</w:t>
      </w:r>
      <w:r w:rsidR="00031810">
        <w:t>anço Orçamentário</w:t>
      </w:r>
      <w:r w:rsidR="00D11262">
        <w:t xml:space="preserve">. </w:t>
      </w:r>
      <w:r w:rsidR="00031810">
        <w:t>Relatório Resumido da Execução Orçamentária. Até dezembro dos Exercícios.</w:t>
      </w:r>
    </w:p>
    <w:p w:rsidR="00101311" w:rsidRPr="0004492D" w:rsidRDefault="00101311" w:rsidP="00611A3C">
      <w:pPr>
        <w:spacing w:before="240" w:after="120"/>
        <w:jc w:val="center"/>
        <w:rPr>
          <w:b/>
          <w:sz w:val="24"/>
          <w:szCs w:val="24"/>
        </w:rPr>
      </w:pPr>
      <w:r w:rsidRPr="0004492D">
        <w:rPr>
          <w:b/>
          <w:sz w:val="24"/>
          <w:szCs w:val="24"/>
        </w:rPr>
        <w:t>RESULTADO PRIMÁRIO</w:t>
      </w:r>
    </w:p>
    <w:p w:rsidR="00101311" w:rsidRPr="0004492D" w:rsidRDefault="00101311" w:rsidP="00101311">
      <w:pPr>
        <w:jc w:val="center"/>
        <w:rPr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1984"/>
        <w:gridCol w:w="2126"/>
        <w:gridCol w:w="2410"/>
      </w:tblGrid>
      <w:tr w:rsidR="00DB01E0" w:rsidRPr="0004492D" w:rsidTr="00031810">
        <w:tc>
          <w:tcPr>
            <w:tcW w:w="3261" w:type="dxa"/>
            <w:shd w:val="pct15" w:color="auto" w:fill="auto"/>
          </w:tcPr>
          <w:p w:rsidR="00DB01E0" w:rsidRPr="0004492D" w:rsidRDefault="00DB01E0" w:rsidP="006849E3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pct15" w:color="auto" w:fill="auto"/>
          </w:tcPr>
          <w:p w:rsidR="00DB01E0" w:rsidRPr="0004492D" w:rsidRDefault="0049668E" w:rsidP="006849E3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EF160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pct15" w:color="auto" w:fill="auto"/>
          </w:tcPr>
          <w:p w:rsidR="00DB01E0" w:rsidRPr="0004492D" w:rsidRDefault="0049668E" w:rsidP="006849E3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EF160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pct15" w:color="auto" w:fill="auto"/>
          </w:tcPr>
          <w:p w:rsidR="00DB01E0" w:rsidRPr="0004492D" w:rsidRDefault="0049668E" w:rsidP="006849E3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EF160E">
              <w:rPr>
                <w:b/>
                <w:sz w:val="24"/>
                <w:szCs w:val="24"/>
              </w:rPr>
              <w:t>2</w:t>
            </w:r>
          </w:p>
        </w:tc>
      </w:tr>
      <w:tr w:rsidR="00EF160E" w:rsidRPr="0004492D" w:rsidTr="00031810">
        <w:tc>
          <w:tcPr>
            <w:tcW w:w="3261" w:type="dxa"/>
          </w:tcPr>
          <w:p w:rsidR="00EF160E" w:rsidRPr="0004492D" w:rsidRDefault="00EF160E" w:rsidP="006849E3">
            <w:pPr>
              <w:jc w:val="both"/>
              <w:rPr>
                <w:sz w:val="22"/>
                <w:szCs w:val="22"/>
              </w:rPr>
            </w:pPr>
            <w:r w:rsidRPr="0004492D">
              <w:rPr>
                <w:sz w:val="22"/>
                <w:szCs w:val="22"/>
              </w:rPr>
              <w:t>Receita Primária</w:t>
            </w:r>
          </w:p>
        </w:tc>
        <w:tc>
          <w:tcPr>
            <w:tcW w:w="1984" w:type="dxa"/>
          </w:tcPr>
          <w:p w:rsidR="00EF160E" w:rsidRPr="00B43B53" w:rsidRDefault="00EF160E" w:rsidP="00EF160E">
            <w:pPr>
              <w:jc w:val="right"/>
            </w:pPr>
            <w:r>
              <w:t>11.922.241.868</w:t>
            </w:r>
          </w:p>
        </w:tc>
        <w:tc>
          <w:tcPr>
            <w:tcW w:w="2126" w:type="dxa"/>
          </w:tcPr>
          <w:p w:rsidR="00EF160E" w:rsidRPr="00B43B53" w:rsidRDefault="00EF160E" w:rsidP="00EF160E">
            <w:pPr>
              <w:jc w:val="right"/>
            </w:pPr>
            <w:r>
              <w:t>13.358.920.058</w:t>
            </w:r>
          </w:p>
        </w:tc>
        <w:tc>
          <w:tcPr>
            <w:tcW w:w="2410" w:type="dxa"/>
          </w:tcPr>
          <w:p w:rsidR="00EF160E" w:rsidRPr="00B43B53" w:rsidRDefault="005939B2" w:rsidP="006849E3">
            <w:pPr>
              <w:jc w:val="right"/>
            </w:pPr>
            <w:r>
              <w:t>15.083.907.266</w:t>
            </w:r>
          </w:p>
        </w:tc>
      </w:tr>
      <w:tr w:rsidR="00EF160E" w:rsidRPr="0004492D" w:rsidTr="00031810">
        <w:tc>
          <w:tcPr>
            <w:tcW w:w="3261" w:type="dxa"/>
          </w:tcPr>
          <w:p w:rsidR="00EF160E" w:rsidRPr="0004492D" w:rsidRDefault="00EF160E" w:rsidP="006849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F160E" w:rsidRPr="00B43B53" w:rsidRDefault="00EF160E" w:rsidP="00EF160E">
            <w:pPr>
              <w:jc w:val="right"/>
            </w:pPr>
          </w:p>
        </w:tc>
        <w:tc>
          <w:tcPr>
            <w:tcW w:w="2126" w:type="dxa"/>
          </w:tcPr>
          <w:p w:rsidR="00EF160E" w:rsidRPr="00B43B53" w:rsidRDefault="00EF160E" w:rsidP="00EF160E">
            <w:pPr>
              <w:jc w:val="right"/>
            </w:pPr>
          </w:p>
        </w:tc>
        <w:tc>
          <w:tcPr>
            <w:tcW w:w="2410" w:type="dxa"/>
          </w:tcPr>
          <w:p w:rsidR="00EF160E" w:rsidRPr="00B43B53" w:rsidRDefault="00EF160E" w:rsidP="006849E3">
            <w:pPr>
              <w:jc w:val="right"/>
            </w:pPr>
          </w:p>
        </w:tc>
      </w:tr>
      <w:tr w:rsidR="00EF160E" w:rsidRPr="0004492D" w:rsidTr="00031810">
        <w:tc>
          <w:tcPr>
            <w:tcW w:w="3261" w:type="dxa"/>
          </w:tcPr>
          <w:p w:rsidR="00EF160E" w:rsidRPr="0004492D" w:rsidRDefault="00EF160E" w:rsidP="006849E3">
            <w:pPr>
              <w:jc w:val="both"/>
              <w:rPr>
                <w:sz w:val="22"/>
                <w:szCs w:val="22"/>
              </w:rPr>
            </w:pPr>
            <w:r w:rsidRPr="0004492D">
              <w:rPr>
                <w:sz w:val="22"/>
                <w:szCs w:val="22"/>
              </w:rPr>
              <w:t>Despesa Primária</w:t>
            </w:r>
          </w:p>
        </w:tc>
        <w:tc>
          <w:tcPr>
            <w:tcW w:w="1984" w:type="dxa"/>
          </w:tcPr>
          <w:p w:rsidR="00EF160E" w:rsidRPr="00B43B53" w:rsidRDefault="00EF160E" w:rsidP="00EF160E">
            <w:pPr>
              <w:jc w:val="right"/>
            </w:pPr>
            <w:r>
              <w:t>11.886.622.102</w:t>
            </w:r>
          </w:p>
        </w:tc>
        <w:tc>
          <w:tcPr>
            <w:tcW w:w="2126" w:type="dxa"/>
          </w:tcPr>
          <w:p w:rsidR="00EF160E" w:rsidRPr="00B43B53" w:rsidRDefault="00EF160E" w:rsidP="00EF160E">
            <w:pPr>
              <w:jc w:val="right"/>
            </w:pPr>
            <w:r>
              <w:t>13.347.126.766</w:t>
            </w:r>
          </w:p>
        </w:tc>
        <w:tc>
          <w:tcPr>
            <w:tcW w:w="2410" w:type="dxa"/>
          </w:tcPr>
          <w:p w:rsidR="00EF160E" w:rsidRPr="00B43B53" w:rsidRDefault="005939B2" w:rsidP="006849E3">
            <w:pPr>
              <w:jc w:val="right"/>
            </w:pPr>
            <w:r>
              <w:t>15.398.025.905</w:t>
            </w:r>
          </w:p>
        </w:tc>
      </w:tr>
      <w:tr w:rsidR="00EF160E" w:rsidRPr="0004492D" w:rsidTr="00031810">
        <w:tc>
          <w:tcPr>
            <w:tcW w:w="3261" w:type="dxa"/>
          </w:tcPr>
          <w:p w:rsidR="00EF160E" w:rsidRPr="0004492D" w:rsidRDefault="00EF160E" w:rsidP="006849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F160E" w:rsidRPr="00B43B53" w:rsidRDefault="00EF160E" w:rsidP="00EF160E">
            <w:pPr>
              <w:jc w:val="right"/>
            </w:pPr>
          </w:p>
        </w:tc>
        <w:tc>
          <w:tcPr>
            <w:tcW w:w="2126" w:type="dxa"/>
          </w:tcPr>
          <w:p w:rsidR="00EF160E" w:rsidRPr="00B43B53" w:rsidRDefault="00EF160E" w:rsidP="00EF160E">
            <w:pPr>
              <w:jc w:val="right"/>
            </w:pPr>
          </w:p>
        </w:tc>
        <w:tc>
          <w:tcPr>
            <w:tcW w:w="2410" w:type="dxa"/>
          </w:tcPr>
          <w:p w:rsidR="00EF160E" w:rsidRPr="00B43B53" w:rsidRDefault="00EF160E" w:rsidP="006849E3">
            <w:pPr>
              <w:jc w:val="right"/>
            </w:pPr>
          </w:p>
        </w:tc>
      </w:tr>
      <w:tr w:rsidR="00EF160E" w:rsidRPr="0004492D" w:rsidTr="00031810">
        <w:tc>
          <w:tcPr>
            <w:tcW w:w="3261" w:type="dxa"/>
          </w:tcPr>
          <w:p w:rsidR="00EF160E" w:rsidRPr="0004492D" w:rsidRDefault="00EF160E" w:rsidP="006849E3">
            <w:pPr>
              <w:jc w:val="both"/>
              <w:rPr>
                <w:sz w:val="22"/>
                <w:szCs w:val="22"/>
              </w:rPr>
            </w:pPr>
            <w:r w:rsidRPr="0004492D">
              <w:rPr>
                <w:sz w:val="22"/>
                <w:szCs w:val="22"/>
              </w:rPr>
              <w:t>Resultado Primário</w:t>
            </w:r>
          </w:p>
        </w:tc>
        <w:tc>
          <w:tcPr>
            <w:tcW w:w="1984" w:type="dxa"/>
          </w:tcPr>
          <w:p w:rsidR="00EF160E" w:rsidRPr="00B43B53" w:rsidRDefault="00EF160E" w:rsidP="00EF160E">
            <w:pPr>
              <w:jc w:val="right"/>
            </w:pPr>
            <w:r>
              <w:t>35.619.766</w:t>
            </w:r>
          </w:p>
        </w:tc>
        <w:tc>
          <w:tcPr>
            <w:tcW w:w="2126" w:type="dxa"/>
          </w:tcPr>
          <w:p w:rsidR="00EF160E" w:rsidRPr="00B43B53" w:rsidRDefault="00EF160E" w:rsidP="00EF160E">
            <w:pPr>
              <w:jc w:val="right"/>
            </w:pPr>
            <w:r>
              <w:t>11.793.292</w:t>
            </w:r>
          </w:p>
        </w:tc>
        <w:tc>
          <w:tcPr>
            <w:tcW w:w="2410" w:type="dxa"/>
          </w:tcPr>
          <w:p w:rsidR="00EF160E" w:rsidRPr="00B43B53" w:rsidRDefault="005939B2" w:rsidP="006849E3">
            <w:pPr>
              <w:jc w:val="right"/>
            </w:pPr>
            <w:r>
              <w:t>-314.118.639</w:t>
            </w:r>
          </w:p>
        </w:tc>
      </w:tr>
      <w:tr w:rsidR="00EF160E" w:rsidRPr="0004492D" w:rsidTr="00031810">
        <w:tc>
          <w:tcPr>
            <w:tcW w:w="3261" w:type="dxa"/>
          </w:tcPr>
          <w:p w:rsidR="00EF160E" w:rsidRPr="00851228" w:rsidRDefault="00EF160E" w:rsidP="006849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Superávit F</w:t>
            </w:r>
            <w:r w:rsidRPr="00851228">
              <w:rPr>
                <w:sz w:val="22"/>
                <w:szCs w:val="22"/>
              </w:rPr>
              <w:t>inanceiro</w:t>
            </w:r>
          </w:p>
        </w:tc>
        <w:tc>
          <w:tcPr>
            <w:tcW w:w="1984" w:type="dxa"/>
          </w:tcPr>
          <w:p w:rsidR="00EF160E" w:rsidRPr="00B43B53" w:rsidRDefault="00EF160E" w:rsidP="00EF160E">
            <w:pPr>
              <w:jc w:val="right"/>
            </w:pPr>
            <w:r>
              <w:t>604.256.541</w:t>
            </w:r>
          </w:p>
        </w:tc>
        <w:tc>
          <w:tcPr>
            <w:tcW w:w="2126" w:type="dxa"/>
          </w:tcPr>
          <w:p w:rsidR="00EF160E" w:rsidRPr="00B43B53" w:rsidRDefault="00EF160E" w:rsidP="00EF160E">
            <w:pPr>
              <w:jc w:val="right"/>
            </w:pPr>
            <w:r>
              <w:t>657.654.424</w:t>
            </w:r>
          </w:p>
        </w:tc>
        <w:tc>
          <w:tcPr>
            <w:tcW w:w="2410" w:type="dxa"/>
          </w:tcPr>
          <w:p w:rsidR="00EF160E" w:rsidRPr="00B43B53" w:rsidRDefault="005939B2" w:rsidP="006849E3">
            <w:pPr>
              <w:jc w:val="right"/>
            </w:pPr>
            <w:r>
              <w:t>775.656.50</w:t>
            </w:r>
            <w:r w:rsidR="00A56E3A">
              <w:t>8</w:t>
            </w:r>
          </w:p>
        </w:tc>
      </w:tr>
      <w:tr w:rsidR="00EF160E" w:rsidRPr="0004492D" w:rsidTr="00031810">
        <w:tc>
          <w:tcPr>
            <w:tcW w:w="3261" w:type="dxa"/>
          </w:tcPr>
          <w:p w:rsidR="003A2CE9" w:rsidRDefault="003A2CE9" w:rsidP="006849E3">
            <w:pPr>
              <w:jc w:val="both"/>
              <w:rPr>
                <w:sz w:val="22"/>
                <w:szCs w:val="22"/>
              </w:rPr>
            </w:pPr>
          </w:p>
          <w:p w:rsidR="00EF160E" w:rsidRPr="00851228" w:rsidRDefault="00EF160E" w:rsidP="006849E3">
            <w:pPr>
              <w:jc w:val="both"/>
              <w:rPr>
                <w:sz w:val="22"/>
                <w:szCs w:val="22"/>
              </w:rPr>
            </w:pPr>
            <w:r w:rsidRPr="00851228">
              <w:rPr>
                <w:sz w:val="22"/>
                <w:szCs w:val="22"/>
              </w:rPr>
              <w:t>Resultado Real</w:t>
            </w:r>
          </w:p>
        </w:tc>
        <w:tc>
          <w:tcPr>
            <w:tcW w:w="1984" w:type="dxa"/>
          </w:tcPr>
          <w:p w:rsidR="00EF160E" w:rsidRPr="00B43B53" w:rsidRDefault="00EF160E" w:rsidP="00EF160E">
            <w:pPr>
              <w:jc w:val="right"/>
            </w:pPr>
            <w:r>
              <w:t>639.876.307</w:t>
            </w:r>
          </w:p>
        </w:tc>
        <w:tc>
          <w:tcPr>
            <w:tcW w:w="2126" w:type="dxa"/>
          </w:tcPr>
          <w:p w:rsidR="00EF160E" w:rsidRPr="00B43B53" w:rsidRDefault="00EF160E" w:rsidP="00EF160E">
            <w:pPr>
              <w:jc w:val="right"/>
            </w:pPr>
            <w:r>
              <w:t>669.447.716</w:t>
            </w:r>
          </w:p>
        </w:tc>
        <w:tc>
          <w:tcPr>
            <w:tcW w:w="2410" w:type="dxa"/>
          </w:tcPr>
          <w:p w:rsidR="00EF160E" w:rsidRPr="00B43B53" w:rsidRDefault="005939B2" w:rsidP="006849E3">
            <w:pPr>
              <w:jc w:val="right"/>
            </w:pPr>
            <w:r>
              <w:t>461.537.869</w:t>
            </w:r>
          </w:p>
        </w:tc>
      </w:tr>
    </w:tbl>
    <w:p w:rsidR="00031810" w:rsidRPr="0004492D" w:rsidRDefault="00031810" w:rsidP="00031810">
      <w:pPr>
        <w:spacing w:after="120"/>
      </w:pPr>
      <w:r w:rsidRPr="0004492D">
        <w:t>Fonte:</w:t>
      </w:r>
      <w:proofErr w:type="gramStart"/>
      <w:r w:rsidRPr="0004492D">
        <w:t xml:space="preserve">  </w:t>
      </w:r>
      <w:proofErr w:type="gramEnd"/>
      <w:r w:rsidRPr="0004492D">
        <w:t>Balanço Orçamentário</w:t>
      </w:r>
      <w:r>
        <w:t xml:space="preserve">. Relatório Resumido da Execução Orçamentária. Até dezembro </w:t>
      </w:r>
      <w:r w:rsidRPr="0004492D">
        <w:t>dos Exercícios</w:t>
      </w:r>
      <w:r>
        <w:t>.</w:t>
      </w:r>
    </w:p>
    <w:p w:rsidR="000F521F" w:rsidRPr="0004492D" w:rsidRDefault="007A303C" w:rsidP="00611A3C">
      <w:pPr>
        <w:tabs>
          <w:tab w:val="left" w:pos="8102"/>
        </w:tabs>
        <w:spacing w:after="120"/>
        <w:ind w:left="567"/>
      </w:pPr>
      <w:r>
        <w:tab/>
      </w:r>
    </w:p>
    <w:p w:rsidR="00401B5D" w:rsidRDefault="00401B5D" w:rsidP="00611A3C">
      <w:pPr>
        <w:spacing w:after="120"/>
        <w:ind w:left="567"/>
      </w:pPr>
    </w:p>
    <w:p w:rsidR="002F1D10" w:rsidRDefault="002F1D10" w:rsidP="002F1D10">
      <w:pPr>
        <w:tabs>
          <w:tab w:val="left" w:pos="1701"/>
        </w:tabs>
        <w:spacing w:before="120" w:after="120"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 projeção da dívida consolidada já comporta as possíveis contratações de operações de crédit</w:t>
      </w:r>
      <w:r w:rsidR="00A56E3A">
        <w:rPr>
          <w:sz w:val="24"/>
          <w:szCs w:val="24"/>
        </w:rPr>
        <w:t>o para o quadriênio 2013-2016 e</w:t>
      </w:r>
      <w:r>
        <w:rPr>
          <w:sz w:val="24"/>
          <w:szCs w:val="24"/>
        </w:rPr>
        <w:t xml:space="preserve"> inclui</w:t>
      </w:r>
      <w:r w:rsidR="00A56E3A">
        <w:rPr>
          <w:sz w:val="24"/>
          <w:szCs w:val="24"/>
        </w:rPr>
        <w:t>,</w:t>
      </w:r>
      <w:r>
        <w:rPr>
          <w:sz w:val="24"/>
          <w:szCs w:val="24"/>
        </w:rPr>
        <w:t xml:space="preserve"> também, os precatórios judiciais posteriores a 05/05/2000.</w:t>
      </w:r>
    </w:p>
    <w:p w:rsidR="002F1D10" w:rsidRPr="0004492D" w:rsidRDefault="002F1D10" w:rsidP="002F1D10">
      <w:pPr>
        <w:spacing w:before="240" w:after="120"/>
        <w:jc w:val="center"/>
        <w:rPr>
          <w:b/>
        </w:rPr>
      </w:pPr>
      <w:r w:rsidRPr="0004492D">
        <w:rPr>
          <w:b/>
          <w:sz w:val="24"/>
          <w:szCs w:val="24"/>
        </w:rPr>
        <w:t>DÍVIDA PÚBLICA</w:t>
      </w:r>
    </w:p>
    <w:p w:rsidR="002F1D10" w:rsidRPr="0004492D" w:rsidRDefault="002F1D10" w:rsidP="002F1D10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2410"/>
        <w:gridCol w:w="2268"/>
        <w:gridCol w:w="2126"/>
      </w:tblGrid>
      <w:tr w:rsidR="00F00D8F" w:rsidRPr="0004492D" w:rsidTr="00F00D8F">
        <w:tc>
          <w:tcPr>
            <w:tcW w:w="2835" w:type="dxa"/>
            <w:shd w:val="pct15" w:color="auto" w:fill="auto"/>
          </w:tcPr>
          <w:p w:rsidR="00F00D8F" w:rsidRPr="0004492D" w:rsidRDefault="00F00D8F" w:rsidP="00024D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pct15" w:color="auto" w:fill="auto"/>
          </w:tcPr>
          <w:p w:rsidR="00F00D8F" w:rsidRPr="0004492D" w:rsidRDefault="00F00D8F" w:rsidP="00024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2268" w:type="dxa"/>
            <w:shd w:val="pct15" w:color="auto" w:fill="auto"/>
          </w:tcPr>
          <w:p w:rsidR="00F00D8F" w:rsidRPr="0004492D" w:rsidRDefault="00F00D8F" w:rsidP="00024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2126" w:type="dxa"/>
            <w:shd w:val="pct15" w:color="auto" w:fill="auto"/>
          </w:tcPr>
          <w:p w:rsidR="00F00D8F" w:rsidRDefault="00F00D8F" w:rsidP="00024D0E">
            <w:pPr>
              <w:ind w:right="4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</w:t>
            </w:r>
          </w:p>
        </w:tc>
      </w:tr>
      <w:tr w:rsidR="00F00D8F" w:rsidRPr="0004492D" w:rsidTr="00F00D8F">
        <w:tc>
          <w:tcPr>
            <w:tcW w:w="2835" w:type="dxa"/>
          </w:tcPr>
          <w:p w:rsidR="00F00D8F" w:rsidRPr="0004492D" w:rsidRDefault="00F00D8F" w:rsidP="00024D0E">
            <w:pPr>
              <w:jc w:val="both"/>
            </w:pPr>
            <w:r w:rsidRPr="0004492D">
              <w:t>Divida Consolidada</w:t>
            </w:r>
          </w:p>
        </w:tc>
        <w:tc>
          <w:tcPr>
            <w:tcW w:w="2410" w:type="dxa"/>
          </w:tcPr>
          <w:p w:rsidR="00F00D8F" w:rsidRPr="00002C70" w:rsidRDefault="00F00D8F" w:rsidP="00024D0E">
            <w:pPr>
              <w:jc w:val="right"/>
            </w:pPr>
            <w:r>
              <w:t>6.102.950.055</w:t>
            </w:r>
          </w:p>
        </w:tc>
        <w:tc>
          <w:tcPr>
            <w:tcW w:w="2268" w:type="dxa"/>
          </w:tcPr>
          <w:p w:rsidR="00F00D8F" w:rsidRPr="00002C70" w:rsidRDefault="00F00D8F" w:rsidP="00024D0E">
            <w:pPr>
              <w:jc w:val="right"/>
            </w:pPr>
            <w:r>
              <w:t>7.104.061.157</w:t>
            </w:r>
          </w:p>
        </w:tc>
        <w:tc>
          <w:tcPr>
            <w:tcW w:w="2126" w:type="dxa"/>
          </w:tcPr>
          <w:p w:rsidR="00F00D8F" w:rsidRPr="00002C70" w:rsidRDefault="00F00D8F" w:rsidP="00024D0E">
            <w:pPr>
              <w:jc w:val="right"/>
            </w:pPr>
            <w:r>
              <w:t>7.763.887.089</w:t>
            </w:r>
          </w:p>
        </w:tc>
      </w:tr>
      <w:tr w:rsidR="00F00D8F" w:rsidRPr="0004492D" w:rsidTr="00F00D8F">
        <w:tc>
          <w:tcPr>
            <w:tcW w:w="2835" w:type="dxa"/>
          </w:tcPr>
          <w:p w:rsidR="00F00D8F" w:rsidRPr="0004492D" w:rsidRDefault="00F00D8F" w:rsidP="00024D0E">
            <w:pPr>
              <w:jc w:val="both"/>
            </w:pPr>
            <w:r w:rsidRPr="0004492D">
              <w:t>Dívida Consolidada Líquida</w:t>
            </w:r>
          </w:p>
        </w:tc>
        <w:tc>
          <w:tcPr>
            <w:tcW w:w="2410" w:type="dxa"/>
          </w:tcPr>
          <w:p w:rsidR="00F00D8F" w:rsidRPr="007E5EF3" w:rsidRDefault="00F00D8F" w:rsidP="00024D0E">
            <w:pPr>
              <w:jc w:val="right"/>
            </w:pPr>
            <w:r>
              <w:t>3.779.190.702</w:t>
            </w:r>
          </w:p>
        </w:tc>
        <w:tc>
          <w:tcPr>
            <w:tcW w:w="2268" w:type="dxa"/>
          </w:tcPr>
          <w:p w:rsidR="00F00D8F" w:rsidRPr="007E5EF3" w:rsidRDefault="00F00D8F" w:rsidP="00024D0E">
            <w:pPr>
              <w:jc w:val="right"/>
            </w:pPr>
            <w:r>
              <w:t>4.642.641.912</w:t>
            </w:r>
          </w:p>
        </w:tc>
        <w:tc>
          <w:tcPr>
            <w:tcW w:w="2126" w:type="dxa"/>
          </w:tcPr>
          <w:p w:rsidR="00F00D8F" w:rsidRPr="007E5EF3" w:rsidRDefault="00F00D8F" w:rsidP="00024D0E">
            <w:pPr>
              <w:jc w:val="right"/>
            </w:pPr>
            <w:r>
              <w:t>5.179.396.881</w:t>
            </w:r>
          </w:p>
        </w:tc>
      </w:tr>
      <w:tr w:rsidR="00F00D8F" w:rsidRPr="0004492D" w:rsidTr="00F00D8F">
        <w:tc>
          <w:tcPr>
            <w:tcW w:w="2835" w:type="dxa"/>
          </w:tcPr>
          <w:p w:rsidR="00F00D8F" w:rsidRPr="0004492D" w:rsidRDefault="00F00D8F" w:rsidP="00024D0E">
            <w:pPr>
              <w:jc w:val="both"/>
              <w:rPr>
                <w:sz w:val="24"/>
                <w:szCs w:val="24"/>
              </w:rPr>
            </w:pPr>
            <w:r w:rsidRPr="0004492D">
              <w:rPr>
                <w:sz w:val="24"/>
                <w:szCs w:val="24"/>
              </w:rPr>
              <w:t>RCL</w:t>
            </w:r>
          </w:p>
        </w:tc>
        <w:tc>
          <w:tcPr>
            <w:tcW w:w="2410" w:type="dxa"/>
          </w:tcPr>
          <w:p w:rsidR="00F00D8F" w:rsidRPr="0004492D" w:rsidRDefault="00F00D8F" w:rsidP="007357BE">
            <w:pPr>
              <w:jc w:val="right"/>
            </w:pPr>
            <w:r>
              <w:t>16.638.606.199</w:t>
            </w:r>
          </w:p>
        </w:tc>
        <w:tc>
          <w:tcPr>
            <w:tcW w:w="2268" w:type="dxa"/>
          </w:tcPr>
          <w:p w:rsidR="00F00D8F" w:rsidRPr="0004492D" w:rsidRDefault="00F00D8F" w:rsidP="007357BE">
            <w:pPr>
              <w:jc w:val="right"/>
            </w:pPr>
            <w:r>
              <w:t>18.469.543.285</w:t>
            </w:r>
          </w:p>
        </w:tc>
        <w:tc>
          <w:tcPr>
            <w:tcW w:w="2126" w:type="dxa"/>
          </w:tcPr>
          <w:p w:rsidR="00F00D8F" w:rsidRPr="0004492D" w:rsidRDefault="00F00D8F" w:rsidP="007357BE">
            <w:pPr>
              <w:jc w:val="right"/>
            </w:pPr>
            <w:r>
              <w:t>20.070.719.043</w:t>
            </w:r>
          </w:p>
        </w:tc>
      </w:tr>
      <w:tr w:rsidR="00F00D8F" w:rsidRPr="0004492D" w:rsidTr="00F00D8F">
        <w:tc>
          <w:tcPr>
            <w:tcW w:w="2835" w:type="dxa"/>
          </w:tcPr>
          <w:p w:rsidR="00F00D8F" w:rsidRPr="0004492D" w:rsidRDefault="00F00D8F" w:rsidP="00024D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00D8F" w:rsidRPr="0004492D" w:rsidRDefault="00F00D8F" w:rsidP="00024D0E">
            <w:pPr>
              <w:jc w:val="right"/>
            </w:pPr>
          </w:p>
        </w:tc>
        <w:tc>
          <w:tcPr>
            <w:tcW w:w="2268" w:type="dxa"/>
          </w:tcPr>
          <w:p w:rsidR="00F00D8F" w:rsidRPr="0004492D" w:rsidRDefault="00F00D8F" w:rsidP="00024D0E">
            <w:pPr>
              <w:jc w:val="right"/>
            </w:pPr>
          </w:p>
        </w:tc>
        <w:tc>
          <w:tcPr>
            <w:tcW w:w="2126" w:type="dxa"/>
          </w:tcPr>
          <w:p w:rsidR="00F00D8F" w:rsidRPr="0004492D" w:rsidRDefault="00F00D8F" w:rsidP="00024D0E">
            <w:pPr>
              <w:jc w:val="right"/>
            </w:pPr>
          </w:p>
        </w:tc>
      </w:tr>
      <w:tr w:rsidR="00F00D8F" w:rsidRPr="0004492D" w:rsidTr="00F00D8F">
        <w:tc>
          <w:tcPr>
            <w:tcW w:w="2835" w:type="dxa"/>
          </w:tcPr>
          <w:p w:rsidR="00F00D8F" w:rsidRPr="0004492D" w:rsidRDefault="00F00D8F" w:rsidP="00024D0E">
            <w:pPr>
              <w:jc w:val="both"/>
              <w:rPr>
                <w:sz w:val="24"/>
                <w:szCs w:val="24"/>
              </w:rPr>
            </w:pPr>
            <w:r w:rsidRPr="0004492D">
              <w:rPr>
                <w:sz w:val="24"/>
                <w:szCs w:val="24"/>
              </w:rPr>
              <w:t>Relação DC/RCL</w:t>
            </w:r>
          </w:p>
        </w:tc>
        <w:tc>
          <w:tcPr>
            <w:tcW w:w="2410" w:type="dxa"/>
          </w:tcPr>
          <w:p w:rsidR="00F00D8F" w:rsidRPr="0004492D" w:rsidRDefault="00F00D8F" w:rsidP="004A2929">
            <w:pPr>
              <w:spacing w:line="360" w:lineRule="auto"/>
              <w:jc w:val="right"/>
            </w:pPr>
            <w:r>
              <w:t>36,68%</w:t>
            </w:r>
          </w:p>
        </w:tc>
        <w:tc>
          <w:tcPr>
            <w:tcW w:w="2268" w:type="dxa"/>
          </w:tcPr>
          <w:p w:rsidR="00F00D8F" w:rsidRPr="0004492D" w:rsidRDefault="00F00D8F" w:rsidP="00024D0E">
            <w:pPr>
              <w:jc w:val="right"/>
            </w:pPr>
            <w:r>
              <w:t>38,46%</w:t>
            </w:r>
          </w:p>
        </w:tc>
        <w:tc>
          <w:tcPr>
            <w:tcW w:w="2126" w:type="dxa"/>
          </w:tcPr>
          <w:p w:rsidR="00F00D8F" w:rsidRPr="0004492D" w:rsidRDefault="00F00D8F" w:rsidP="00024D0E">
            <w:pPr>
              <w:jc w:val="right"/>
            </w:pPr>
            <w:r>
              <w:t>38,68%</w:t>
            </w:r>
          </w:p>
        </w:tc>
      </w:tr>
      <w:tr w:rsidR="00F00D8F" w:rsidRPr="0004492D" w:rsidTr="00F00D8F">
        <w:tc>
          <w:tcPr>
            <w:tcW w:w="2835" w:type="dxa"/>
          </w:tcPr>
          <w:p w:rsidR="00F00D8F" w:rsidRPr="0004492D" w:rsidRDefault="00F00D8F" w:rsidP="00024D0E">
            <w:pPr>
              <w:jc w:val="both"/>
              <w:rPr>
                <w:sz w:val="24"/>
                <w:szCs w:val="24"/>
              </w:rPr>
            </w:pPr>
            <w:r w:rsidRPr="0004492D">
              <w:rPr>
                <w:sz w:val="24"/>
                <w:szCs w:val="24"/>
              </w:rPr>
              <w:t>Relação DCL/RCL</w:t>
            </w:r>
          </w:p>
        </w:tc>
        <w:tc>
          <w:tcPr>
            <w:tcW w:w="2410" w:type="dxa"/>
          </w:tcPr>
          <w:p w:rsidR="00F00D8F" w:rsidRPr="0004492D" w:rsidRDefault="00F00D8F" w:rsidP="00024D0E">
            <w:pPr>
              <w:jc w:val="right"/>
            </w:pPr>
            <w:r>
              <w:t>22,71%</w:t>
            </w:r>
          </w:p>
        </w:tc>
        <w:tc>
          <w:tcPr>
            <w:tcW w:w="2268" w:type="dxa"/>
          </w:tcPr>
          <w:p w:rsidR="00F00D8F" w:rsidRPr="0004492D" w:rsidRDefault="00F00D8F" w:rsidP="00024D0E">
            <w:pPr>
              <w:jc w:val="right"/>
            </w:pPr>
            <w:r>
              <w:t>25,14%</w:t>
            </w:r>
          </w:p>
        </w:tc>
        <w:tc>
          <w:tcPr>
            <w:tcW w:w="2126" w:type="dxa"/>
          </w:tcPr>
          <w:p w:rsidR="00F00D8F" w:rsidRPr="0004492D" w:rsidRDefault="00F00D8F" w:rsidP="00024D0E">
            <w:pPr>
              <w:jc w:val="right"/>
            </w:pPr>
            <w:r>
              <w:t>25,80%</w:t>
            </w:r>
          </w:p>
        </w:tc>
      </w:tr>
      <w:tr w:rsidR="00F00D8F" w:rsidRPr="0004492D" w:rsidTr="00F00D8F">
        <w:tc>
          <w:tcPr>
            <w:tcW w:w="2835" w:type="dxa"/>
          </w:tcPr>
          <w:p w:rsidR="00F00D8F" w:rsidRPr="0004492D" w:rsidRDefault="00F00D8F" w:rsidP="00024D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00D8F" w:rsidRPr="0004492D" w:rsidRDefault="00F00D8F" w:rsidP="00024D0E">
            <w:pPr>
              <w:jc w:val="right"/>
            </w:pPr>
          </w:p>
        </w:tc>
        <w:tc>
          <w:tcPr>
            <w:tcW w:w="2268" w:type="dxa"/>
          </w:tcPr>
          <w:p w:rsidR="00F00D8F" w:rsidRPr="0004492D" w:rsidRDefault="00F00D8F" w:rsidP="00024D0E">
            <w:pPr>
              <w:jc w:val="right"/>
            </w:pPr>
          </w:p>
        </w:tc>
        <w:tc>
          <w:tcPr>
            <w:tcW w:w="2126" w:type="dxa"/>
          </w:tcPr>
          <w:p w:rsidR="00F00D8F" w:rsidRPr="0004492D" w:rsidRDefault="00F00D8F" w:rsidP="00024D0E">
            <w:pPr>
              <w:jc w:val="right"/>
            </w:pPr>
          </w:p>
        </w:tc>
      </w:tr>
      <w:tr w:rsidR="00F00D8F" w:rsidRPr="0004492D" w:rsidTr="00F00D8F">
        <w:tc>
          <w:tcPr>
            <w:tcW w:w="2835" w:type="dxa"/>
          </w:tcPr>
          <w:p w:rsidR="00F00D8F" w:rsidRPr="0004492D" w:rsidRDefault="00F00D8F" w:rsidP="00024D0E">
            <w:pPr>
              <w:jc w:val="both"/>
            </w:pPr>
            <w:r w:rsidRPr="0004492D">
              <w:t>Relação Dívida/RCL Definida pelo Senado Federal (máximo)</w:t>
            </w:r>
          </w:p>
        </w:tc>
        <w:tc>
          <w:tcPr>
            <w:tcW w:w="2410" w:type="dxa"/>
          </w:tcPr>
          <w:p w:rsidR="00F00D8F" w:rsidRPr="0004492D" w:rsidRDefault="00F00D8F" w:rsidP="00024D0E">
            <w:pPr>
              <w:jc w:val="right"/>
            </w:pPr>
            <w:r w:rsidRPr="0004492D">
              <w:t>200,00%</w:t>
            </w:r>
          </w:p>
        </w:tc>
        <w:tc>
          <w:tcPr>
            <w:tcW w:w="2268" w:type="dxa"/>
          </w:tcPr>
          <w:p w:rsidR="00F00D8F" w:rsidRPr="0004492D" w:rsidRDefault="00F00D8F" w:rsidP="00024D0E">
            <w:pPr>
              <w:jc w:val="right"/>
            </w:pPr>
            <w:r w:rsidRPr="0004492D">
              <w:t>200,00%</w:t>
            </w:r>
          </w:p>
        </w:tc>
        <w:tc>
          <w:tcPr>
            <w:tcW w:w="2126" w:type="dxa"/>
          </w:tcPr>
          <w:p w:rsidR="00F00D8F" w:rsidRPr="0004492D" w:rsidRDefault="00F00D8F" w:rsidP="00024D0E">
            <w:pPr>
              <w:jc w:val="right"/>
            </w:pPr>
            <w:r w:rsidRPr="0004492D">
              <w:t>200,00%</w:t>
            </w:r>
          </w:p>
        </w:tc>
      </w:tr>
    </w:tbl>
    <w:p w:rsidR="002F1D10" w:rsidRDefault="002F1D10" w:rsidP="00A90DBD">
      <w:pPr>
        <w:spacing w:after="120"/>
      </w:pPr>
      <w:r>
        <w:t xml:space="preserve">Fonte: </w:t>
      </w:r>
      <w:r w:rsidR="00AE0F5D">
        <w:t>Meta Fiscal – Resultado Nominal. Secretaria de Estado de Fazenda.</w:t>
      </w:r>
      <w:r>
        <w:t xml:space="preserve"> * Valores Constantes</w:t>
      </w:r>
    </w:p>
    <w:p w:rsidR="00AE0F5D" w:rsidRDefault="00AE0F5D" w:rsidP="00A90DBD">
      <w:pPr>
        <w:spacing w:after="120"/>
      </w:pPr>
      <w:r>
        <w:t>Nota: Foram utilizados parâmetros para projeção do Programa de Reestruturação e Ajuste Fiscal do DF fornecidos pela COREM/STN/Ministério da Fazenda</w:t>
      </w:r>
    </w:p>
    <w:p w:rsidR="002F1D10" w:rsidRPr="002F1D10" w:rsidRDefault="002F1D10" w:rsidP="002F1D10">
      <w:pPr>
        <w:tabs>
          <w:tab w:val="left" w:pos="1701"/>
        </w:tabs>
        <w:spacing w:before="120" w:after="120" w:line="360" w:lineRule="auto"/>
        <w:ind w:firstLine="1418"/>
        <w:jc w:val="both"/>
        <w:rPr>
          <w:sz w:val="24"/>
          <w:szCs w:val="24"/>
        </w:rPr>
      </w:pPr>
    </w:p>
    <w:p w:rsidR="003256DC" w:rsidRPr="00611A3C" w:rsidRDefault="00401B5D" w:rsidP="00611A3C">
      <w:pPr>
        <w:spacing w:before="240" w:after="24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DOS </w:t>
      </w:r>
      <w:r w:rsidR="00E971BA" w:rsidRPr="0004492D">
        <w:rPr>
          <w:b/>
          <w:bCs/>
          <w:sz w:val="24"/>
          <w:szCs w:val="24"/>
        </w:rPr>
        <w:t>PASSIVOS CONTINGENTES</w:t>
      </w:r>
    </w:p>
    <w:p w:rsidR="00765E26" w:rsidRPr="0004492D" w:rsidRDefault="0073294F" w:rsidP="00611A3C">
      <w:pPr>
        <w:tabs>
          <w:tab w:val="left" w:pos="1701"/>
        </w:tabs>
        <w:spacing w:before="120" w:after="120" w:line="360" w:lineRule="auto"/>
        <w:ind w:firstLine="1418"/>
        <w:jc w:val="both"/>
        <w:rPr>
          <w:sz w:val="24"/>
          <w:szCs w:val="24"/>
        </w:rPr>
      </w:pPr>
      <w:r w:rsidRPr="0004492D">
        <w:rPr>
          <w:sz w:val="24"/>
          <w:szCs w:val="24"/>
        </w:rPr>
        <w:lastRenderedPageBreak/>
        <w:t xml:space="preserve">Outro item da dívida </w:t>
      </w:r>
      <w:r w:rsidR="001E2F86" w:rsidRPr="0004492D">
        <w:rPr>
          <w:sz w:val="24"/>
          <w:szCs w:val="24"/>
        </w:rPr>
        <w:t xml:space="preserve">diz respeito </w:t>
      </w:r>
      <w:r w:rsidRPr="0004492D">
        <w:rPr>
          <w:sz w:val="24"/>
          <w:szCs w:val="24"/>
        </w:rPr>
        <w:t>aos passivos contingentes, que basicamente r</w:t>
      </w:r>
      <w:r w:rsidR="00765E26" w:rsidRPr="0004492D">
        <w:rPr>
          <w:sz w:val="24"/>
          <w:szCs w:val="24"/>
        </w:rPr>
        <w:t>efe</w:t>
      </w:r>
      <w:r w:rsidR="0043186D" w:rsidRPr="0004492D">
        <w:rPr>
          <w:sz w:val="24"/>
          <w:szCs w:val="24"/>
        </w:rPr>
        <w:t>rem-se às</w:t>
      </w:r>
      <w:r w:rsidR="00765E26" w:rsidRPr="0004492D">
        <w:rPr>
          <w:sz w:val="24"/>
          <w:szCs w:val="24"/>
        </w:rPr>
        <w:t xml:space="preserve"> obrigações causadas por evento</w:t>
      </w:r>
      <w:r w:rsidRPr="0004492D">
        <w:rPr>
          <w:sz w:val="24"/>
          <w:szCs w:val="24"/>
        </w:rPr>
        <w:t xml:space="preserve">s </w:t>
      </w:r>
      <w:r w:rsidR="00765E26" w:rsidRPr="0004492D">
        <w:rPr>
          <w:sz w:val="24"/>
          <w:szCs w:val="24"/>
        </w:rPr>
        <w:t>que pode</w:t>
      </w:r>
      <w:r w:rsidRPr="0004492D">
        <w:rPr>
          <w:sz w:val="24"/>
          <w:szCs w:val="24"/>
        </w:rPr>
        <w:t>m</w:t>
      </w:r>
      <w:r w:rsidR="00765E26" w:rsidRPr="0004492D">
        <w:rPr>
          <w:sz w:val="24"/>
          <w:szCs w:val="24"/>
        </w:rPr>
        <w:t xml:space="preserve"> vir a acontecer. A probabilidade de ocorrência e </w:t>
      </w:r>
      <w:r w:rsidRPr="0004492D">
        <w:rPr>
          <w:sz w:val="24"/>
          <w:szCs w:val="24"/>
        </w:rPr>
        <w:t xml:space="preserve">a </w:t>
      </w:r>
      <w:r w:rsidR="00765E26" w:rsidRPr="0004492D">
        <w:rPr>
          <w:sz w:val="24"/>
          <w:szCs w:val="24"/>
        </w:rPr>
        <w:t>sua magnitude dependem de condições exógenas, difíceis de serem previstas.</w:t>
      </w:r>
    </w:p>
    <w:p w:rsidR="00765E26" w:rsidRPr="00611A3C" w:rsidRDefault="00765E26" w:rsidP="00611A3C">
      <w:pPr>
        <w:tabs>
          <w:tab w:val="num" w:pos="1134"/>
          <w:tab w:val="left" w:pos="1701"/>
        </w:tabs>
        <w:spacing w:before="120" w:after="120" w:line="360" w:lineRule="auto"/>
        <w:ind w:firstLine="1418"/>
        <w:jc w:val="both"/>
        <w:rPr>
          <w:sz w:val="24"/>
          <w:szCs w:val="24"/>
        </w:rPr>
      </w:pPr>
      <w:r w:rsidRPr="0004492D">
        <w:rPr>
          <w:sz w:val="24"/>
          <w:szCs w:val="24"/>
        </w:rPr>
        <w:t xml:space="preserve">Existem inúmeras situações que podem ser caracterizadas como riscos contingentes, quais sejam: possibilidade </w:t>
      </w:r>
      <w:r w:rsidR="0073294F" w:rsidRPr="0004492D">
        <w:rPr>
          <w:sz w:val="24"/>
          <w:szCs w:val="24"/>
        </w:rPr>
        <w:t xml:space="preserve">de </w:t>
      </w:r>
      <w:r w:rsidR="0043186D" w:rsidRPr="0004492D">
        <w:rPr>
          <w:sz w:val="24"/>
          <w:szCs w:val="24"/>
        </w:rPr>
        <w:t xml:space="preserve">perda </w:t>
      </w:r>
      <w:r w:rsidR="0073294F" w:rsidRPr="0004492D">
        <w:rPr>
          <w:sz w:val="24"/>
          <w:szCs w:val="24"/>
        </w:rPr>
        <w:t xml:space="preserve">em ações </w:t>
      </w:r>
      <w:r w:rsidR="0043186D" w:rsidRPr="0004492D">
        <w:rPr>
          <w:sz w:val="24"/>
          <w:szCs w:val="24"/>
        </w:rPr>
        <w:t xml:space="preserve">contra o Estado, obrigação de </w:t>
      </w:r>
      <w:r w:rsidRPr="0004492D">
        <w:rPr>
          <w:sz w:val="24"/>
          <w:szCs w:val="24"/>
        </w:rPr>
        <w:t>honrar garantia concedida; indenização por cancelamento de contrato; pagamento de passivos trabalhistas; realização de despesas por conta de decisões judiciais; mudanças na legislação que possam representar aumento</w:t>
      </w:r>
      <w:r w:rsidR="0073294F" w:rsidRPr="0004492D">
        <w:rPr>
          <w:sz w:val="24"/>
          <w:szCs w:val="24"/>
        </w:rPr>
        <w:t>s</w:t>
      </w:r>
      <w:r w:rsidRPr="0004492D">
        <w:rPr>
          <w:sz w:val="24"/>
          <w:szCs w:val="24"/>
        </w:rPr>
        <w:t xml:space="preserve"> </w:t>
      </w:r>
      <w:r w:rsidR="0043186D" w:rsidRPr="0004492D">
        <w:rPr>
          <w:sz w:val="24"/>
          <w:szCs w:val="24"/>
        </w:rPr>
        <w:t xml:space="preserve">imprevisíveis </w:t>
      </w:r>
      <w:r w:rsidR="0073294F" w:rsidRPr="0004492D">
        <w:rPr>
          <w:sz w:val="24"/>
          <w:szCs w:val="24"/>
        </w:rPr>
        <w:t>na</w:t>
      </w:r>
      <w:r w:rsidRPr="0004492D">
        <w:rPr>
          <w:sz w:val="24"/>
          <w:szCs w:val="24"/>
        </w:rPr>
        <w:t xml:space="preserve"> despesa</w:t>
      </w:r>
      <w:r w:rsidR="001E2F86" w:rsidRPr="0004492D">
        <w:rPr>
          <w:sz w:val="24"/>
          <w:szCs w:val="24"/>
        </w:rPr>
        <w:t>,</w:t>
      </w:r>
      <w:r w:rsidRPr="0004492D">
        <w:rPr>
          <w:sz w:val="24"/>
          <w:szCs w:val="24"/>
        </w:rPr>
        <w:t xml:space="preserve"> etc.</w:t>
      </w:r>
    </w:p>
    <w:p w:rsidR="00D5283A" w:rsidRDefault="00F653ED" w:rsidP="00D5283A">
      <w:pPr>
        <w:spacing w:before="120" w:after="12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Quanto aos Precatórios Judiciais, com a instituição do regime especial de pagamento de precatórios</w:t>
      </w:r>
      <w:r w:rsidR="006E121D">
        <w:rPr>
          <w:sz w:val="24"/>
          <w:szCs w:val="24"/>
        </w:rPr>
        <w:t>, por meio da</w:t>
      </w:r>
      <w:r>
        <w:rPr>
          <w:sz w:val="24"/>
          <w:szCs w:val="24"/>
        </w:rPr>
        <w:t xml:space="preserve"> Emenda Constitucional nº 62/2009, o Distrito Federal optou, através do Decreto nº 31.398, </w:t>
      </w:r>
      <w:r w:rsidR="006E121D">
        <w:rPr>
          <w:sz w:val="24"/>
          <w:szCs w:val="24"/>
        </w:rPr>
        <w:t>pela liquidação de precatórios judiciár</w:t>
      </w:r>
      <w:r w:rsidR="0049668E">
        <w:rPr>
          <w:sz w:val="24"/>
          <w:szCs w:val="24"/>
        </w:rPr>
        <w:t xml:space="preserve">ios </w:t>
      </w:r>
      <w:r w:rsidR="006E121D">
        <w:rPr>
          <w:sz w:val="24"/>
          <w:szCs w:val="24"/>
        </w:rPr>
        <w:t>com o aporte de recursos anuais correspondentes a 1,5</w:t>
      </w:r>
      <w:r w:rsidR="0049668E">
        <w:rPr>
          <w:sz w:val="24"/>
          <w:szCs w:val="24"/>
        </w:rPr>
        <w:t xml:space="preserve">% da receita corrente líquida, </w:t>
      </w:r>
      <w:r w:rsidR="006E121D">
        <w:rPr>
          <w:sz w:val="24"/>
          <w:szCs w:val="24"/>
        </w:rPr>
        <w:t xml:space="preserve">cujo desembolso está sendo efetuado à razão de </w:t>
      </w:r>
      <w:r w:rsidR="00914DD2">
        <w:rPr>
          <w:sz w:val="24"/>
          <w:szCs w:val="24"/>
        </w:rPr>
        <w:t>1/12</w:t>
      </w:r>
      <w:r w:rsidR="0049668E">
        <w:rPr>
          <w:sz w:val="24"/>
          <w:szCs w:val="24"/>
        </w:rPr>
        <w:t xml:space="preserve"> por mês</w:t>
      </w:r>
      <w:r w:rsidR="00914DD2">
        <w:rPr>
          <w:sz w:val="24"/>
          <w:szCs w:val="24"/>
        </w:rPr>
        <w:t xml:space="preserve">. </w:t>
      </w:r>
      <w:r w:rsidR="00931016">
        <w:rPr>
          <w:sz w:val="24"/>
          <w:szCs w:val="24"/>
        </w:rPr>
        <w:t>Embo</w:t>
      </w:r>
      <w:r w:rsidR="00D136A8">
        <w:rPr>
          <w:sz w:val="24"/>
          <w:szCs w:val="24"/>
        </w:rPr>
        <w:t>ra essa Emenda tenha sofrido</w:t>
      </w:r>
      <w:r w:rsidR="00931016">
        <w:rPr>
          <w:sz w:val="24"/>
          <w:szCs w:val="24"/>
        </w:rPr>
        <w:t xml:space="preserve"> Ação Direta de Inconstitucionalidade (4357 e 4425), determinando</w:t>
      </w:r>
      <w:r w:rsidR="00CB5D49">
        <w:rPr>
          <w:sz w:val="24"/>
          <w:szCs w:val="24"/>
        </w:rPr>
        <w:t xml:space="preserve"> que os precatórios </w:t>
      </w:r>
      <w:proofErr w:type="gramStart"/>
      <w:r w:rsidR="00157359">
        <w:rPr>
          <w:sz w:val="24"/>
          <w:szCs w:val="24"/>
        </w:rPr>
        <w:t>deverão</w:t>
      </w:r>
      <w:proofErr w:type="gramEnd"/>
      <w:r w:rsidR="00931016">
        <w:rPr>
          <w:sz w:val="24"/>
          <w:szCs w:val="24"/>
        </w:rPr>
        <w:t xml:space="preserve"> ser pagos integralmente, o Supremo Tribunal Federal autorizou que os pagamentos continu</w:t>
      </w:r>
      <w:r w:rsidR="00CB5D49">
        <w:rPr>
          <w:sz w:val="24"/>
          <w:szCs w:val="24"/>
        </w:rPr>
        <w:t>em de forma parcelada, mas a regra só vale para as dívidas que já vinham sendo pagas. Novos precatórios terão que ser quitados de forma integral.</w:t>
      </w:r>
      <w:r w:rsidR="00931016">
        <w:rPr>
          <w:sz w:val="24"/>
          <w:szCs w:val="24"/>
        </w:rPr>
        <w:t xml:space="preserve"> </w:t>
      </w:r>
    </w:p>
    <w:p w:rsidR="00F653ED" w:rsidRDefault="00D5283A" w:rsidP="00D5283A">
      <w:pPr>
        <w:spacing w:before="120" w:after="12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Quanto às informações sobre as previsões de pagamento para o triênio 2014/2016, cabe ressaltar que a Secretaria de Fazenda do Distrito Federal repassa mensalmente ao </w:t>
      </w:r>
      <w:r w:rsidR="001B5B39">
        <w:rPr>
          <w:sz w:val="24"/>
          <w:szCs w:val="24"/>
        </w:rPr>
        <w:t>T</w:t>
      </w:r>
      <w:r>
        <w:rPr>
          <w:sz w:val="24"/>
          <w:szCs w:val="24"/>
        </w:rPr>
        <w:t xml:space="preserve">ribunal de Justiça do Distrito Federal, 1/12 (um doze avos) do valor correspondente a 1,5% (um e meio por cento) da receita corrente líquida apurada no segundo mês anterior ao mês do depósito, que em 2012, chegou ao valor total de R$ 213.704.081,57 (duzentos e treze milhões, setecentos e </w:t>
      </w:r>
      <w:r w:rsidR="00D136A8">
        <w:rPr>
          <w:sz w:val="24"/>
          <w:szCs w:val="24"/>
        </w:rPr>
        <w:t>quatro mil, oitenta e um reais,</w:t>
      </w:r>
      <w:r>
        <w:rPr>
          <w:sz w:val="24"/>
          <w:szCs w:val="24"/>
        </w:rPr>
        <w:t xml:space="preserve"> </w:t>
      </w:r>
      <w:r w:rsidR="000926CF">
        <w:rPr>
          <w:sz w:val="24"/>
          <w:szCs w:val="24"/>
        </w:rPr>
        <w:t>cinquenta</w:t>
      </w:r>
      <w:r w:rsidR="00D136A8">
        <w:rPr>
          <w:sz w:val="24"/>
          <w:szCs w:val="24"/>
        </w:rPr>
        <w:t xml:space="preserve"> e sete</w:t>
      </w:r>
      <w:r w:rsidR="000926CF">
        <w:rPr>
          <w:sz w:val="24"/>
          <w:szCs w:val="24"/>
        </w:rPr>
        <w:t xml:space="preserve"> centavos). </w:t>
      </w:r>
      <w:r w:rsidR="001B5B39">
        <w:rPr>
          <w:sz w:val="24"/>
          <w:szCs w:val="24"/>
        </w:rPr>
        <w:t>Nesse contexto, vislumbra-se uma situação confortável do DF em relação à quitação de seus precatórios, frisando</w:t>
      </w:r>
      <w:r w:rsidR="004A1FFD">
        <w:rPr>
          <w:sz w:val="24"/>
          <w:szCs w:val="24"/>
        </w:rPr>
        <w:t>,</w:t>
      </w:r>
      <w:r w:rsidR="000926CF">
        <w:rPr>
          <w:sz w:val="24"/>
          <w:szCs w:val="24"/>
        </w:rPr>
        <w:t xml:space="preserve"> contudo,</w:t>
      </w:r>
      <w:r w:rsidR="001B5B39">
        <w:rPr>
          <w:sz w:val="24"/>
          <w:szCs w:val="24"/>
        </w:rPr>
        <w:t xml:space="preserve"> que já estão sendo tomadas as medidas necessárias</w:t>
      </w:r>
      <w:r w:rsidR="000926CF">
        <w:rPr>
          <w:sz w:val="24"/>
          <w:szCs w:val="24"/>
        </w:rPr>
        <w:t xml:space="preserve"> para atender as novas determinações do Supremo Tribunal Federal.</w:t>
      </w:r>
    </w:p>
    <w:p w:rsidR="00D665D7" w:rsidRDefault="00DB1BCA" w:rsidP="00611A3C">
      <w:pPr>
        <w:spacing w:before="120" w:after="120" w:line="360" w:lineRule="auto"/>
        <w:ind w:firstLine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11A3C">
        <w:rPr>
          <w:sz w:val="24"/>
          <w:szCs w:val="24"/>
        </w:rPr>
        <w:t xml:space="preserve">Os principais riscos fiscais enfrentados pelo Distrito Federal são relacionados ao entendimento que a União vem </w:t>
      </w:r>
      <w:r w:rsidR="00E6765A">
        <w:rPr>
          <w:sz w:val="24"/>
          <w:szCs w:val="24"/>
        </w:rPr>
        <w:t>envidando esforços no sentido de avocar os recursos d</w:t>
      </w:r>
      <w:r w:rsidR="000256EE">
        <w:rPr>
          <w:sz w:val="24"/>
          <w:szCs w:val="24"/>
        </w:rPr>
        <w:t xml:space="preserve">a retenção do Imposto de Renda </w:t>
      </w:r>
      <w:r w:rsidR="00E6765A">
        <w:rPr>
          <w:sz w:val="24"/>
          <w:szCs w:val="24"/>
        </w:rPr>
        <w:t xml:space="preserve">e </w:t>
      </w:r>
      <w:r w:rsidR="008A4E73">
        <w:rPr>
          <w:sz w:val="24"/>
          <w:szCs w:val="24"/>
        </w:rPr>
        <w:t xml:space="preserve">das </w:t>
      </w:r>
      <w:r w:rsidR="00E6765A">
        <w:rPr>
          <w:sz w:val="24"/>
          <w:szCs w:val="24"/>
        </w:rPr>
        <w:t xml:space="preserve">Contribuições dos Servidores das </w:t>
      </w:r>
      <w:r w:rsidR="00E6765A" w:rsidRPr="003901E9">
        <w:rPr>
          <w:sz w:val="24"/>
          <w:szCs w:val="24"/>
        </w:rPr>
        <w:t xml:space="preserve">áreas </w:t>
      </w:r>
      <w:r w:rsidR="00A91E12" w:rsidRPr="003901E9">
        <w:rPr>
          <w:sz w:val="24"/>
          <w:szCs w:val="24"/>
        </w:rPr>
        <w:t xml:space="preserve">de saúde, </w:t>
      </w:r>
      <w:r w:rsidR="00E6765A" w:rsidRPr="003901E9">
        <w:rPr>
          <w:sz w:val="24"/>
          <w:szCs w:val="24"/>
        </w:rPr>
        <w:t>educaç</w:t>
      </w:r>
      <w:r w:rsidR="00A91E12" w:rsidRPr="003901E9">
        <w:rPr>
          <w:sz w:val="24"/>
          <w:szCs w:val="24"/>
        </w:rPr>
        <w:t xml:space="preserve">ão, </w:t>
      </w:r>
      <w:r w:rsidR="00611A3C" w:rsidRPr="003901E9">
        <w:rPr>
          <w:sz w:val="24"/>
          <w:szCs w:val="24"/>
        </w:rPr>
        <w:t>Polícia Civil, Polícia Militar e Corpo de Bombeiros Militar</w:t>
      </w:r>
      <w:r w:rsidR="008A4E73">
        <w:rPr>
          <w:sz w:val="24"/>
          <w:szCs w:val="24"/>
        </w:rPr>
        <w:t>, cuja folha de pagamentos é custeada pelo Fundo Constitucional do DF</w:t>
      </w:r>
      <w:r w:rsidR="00611A3C" w:rsidRPr="003901E9">
        <w:rPr>
          <w:sz w:val="24"/>
          <w:szCs w:val="24"/>
        </w:rPr>
        <w:t>:</w:t>
      </w:r>
    </w:p>
    <w:p w:rsidR="00DB1BCA" w:rsidRDefault="00611A3C" w:rsidP="00611A3C">
      <w:pPr>
        <w:numPr>
          <w:ilvl w:val="0"/>
          <w:numId w:val="11"/>
        </w:num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União questiona, desde 2003, </w:t>
      </w:r>
      <w:r w:rsidR="00036096">
        <w:rPr>
          <w:sz w:val="24"/>
          <w:szCs w:val="24"/>
        </w:rPr>
        <w:t>a</w:t>
      </w:r>
      <w:r>
        <w:rPr>
          <w:sz w:val="24"/>
          <w:szCs w:val="24"/>
        </w:rPr>
        <w:t xml:space="preserve"> retenção pelo Distrito Federal do imposto de renda descontado na folha dos servidores dos órgãos acima citados. </w:t>
      </w:r>
      <w:r w:rsidR="00036096">
        <w:rPr>
          <w:sz w:val="24"/>
          <w:szCs w:val="24"/>
        </w:rPr>
        <w:t xml:space="preserve">O assunto aguarda pronunciamento do Tribunal de Contas da União sobre a matéria. Esta questão, se resolvida em definitivo desfavoravelmente ao </w:t>
      </w:r>
      <w:r w:rsidR="00036096">
        <w:rPr>
          <w:sz w:val="24"/>
          <w:szCs w:val="24"/>
        </w:rPr>
        <w:lastRenderedPageBreak/>
        <w:t xml:space="preserve">Distrito Federal, </w:t>
      </w:r>
      <w:r w:rsidR="00926C38">
        <w:rPr>
          <w:sz w:val="24"/>
          <w:szCs w:val="24"/>
        </w:rPr>
        <w:t xml:space="preserve">implica uma perda de receita </w:t>
      </w:r>
      <w:r w:rsidR="000256EE">
        <w:rPr>
          <w:sz w:val="24"/>
          <w:szCs w:val="24"/>
        </w:rPr>
        <w:t xml:space="preserve">da ordem de </w:t>
      </w:r>
      <w:r w:rsidR="00926C38">
        <w:rPr>
          <w:sz w:val="24"/>
          <w:szCs w:val="24"/>
        </w:rPr>
        <w:t>R$ 4</w:t>
      </w:r>
      <w:r w:rsidR="008A4E73">
        <w:rPr>
          <w:sz w:val="24"/>
          <w:szCs w:val="24"/>
        </w:rPr>
        <w:t>52</w:t>
      </w:r>
      <w:r w:rsidR="00926C38">
        <w:rPr>
          <w:sz w:val="24"/>
          <w:szCs w:val="24"/>
        </w:rPr>
        <w:t xml:space="preserve"> milhões ao ano</w:t>
      </w:r>
      <w:r w:rsidR="008A4E73">
        <w:rPr>
          <w:sz w:val="24"/>
          <w:szCs w:val="24"/>
        </w:rPr>
        <w:t>.</w:t>
      </w:r>
    </w:p>
    <w:p w:rsidR="004C1B4C" w:rsidRDefault="00815D90" w:rsidP="0032136C">
      <w:pPr>
        <w:numPr>
          <w:ilvl w:val="0"/>
          <w:numId w:val="11"/>
        </w:num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334118">
        <w:rPr>
          <w:sz w:val="24"/>
          <w:szCs w:val="24"/>
        </w:rPr>
        <w:t>U</w:t>
      </w:r>
      <w:r>
        <w:rPr>
          <w:sz w:val="24"/>
          <w:szCs w:val="24"/>
        </w:rPr>
        <w:t>nião ques</w:t>
      </w:r>
      <w:r w:rsidR="008A4E73">
        <w:rPr>
          <w:sz w:val="24"/>
          <w:szCs w:val="24"/>
        </w:rPr>
        <w:t xml:space="preserve">tiona também o recolhimento ao Tesouro do </w:t>
      </w:r>
      <w:r>
        <w:rPr>
          <w:sz w:val="24"/>
          <w:szCs w:val="24"/>
        </w:rPr>
        <w:t>DF das contribuições previdenciárias</w:t>
      </w:r>
      <w:r w:rsidR="008A4E73">
        <w:rPr>
          <w:sz w:val="24"/>
          <w:szCs w:val="24"/>
        </w:rPr>
        <w:t xml:space="preserve"> e a respectiva cota patronal desse</w:t>
      </w:r>
      <w:r>
        <w:rPr>
          <w:sz w:val="24"/>
          <w:szCs w:val="24"/>
        </w:rPr>
        <w:t>s servidores.</w:t>
      </w:r>
      <w:r w:rsidR="00334118">
        <w:rPr>
          <w:sz w:val="24"/>
          <w:szCs w:val="24"/>
        </w:rPr>
        <w:t xml:space="preserve"> Esta questão, assim como a primeira listada, está sendo julgada no Tribunal de Contas da União. A perda do litígio</w:t>
      </w:r>
      <w:r w:rsidR="000645CF">
        <w:rPr>
          <w:sz w:val="24"/>
          <w:szCs w:val="24"/>
        </w:rPr>
        <w:t>, se ocorrer,</w:t>
      </w:r>
      <w:r w:rsidR="00334118">
        <w:rPr>
          <w:sz w:val="24"/>
          <w:szCs w:val="24"/>
        </w:rPr>
        <w:t xml:space="preserve"> impactará </w:t>
      </w:r>
      <w:r w:rsidR="000645CF">
        <w:rPr>
          <w:sz w:val="24"/>
          <w:szCs w:val="24"/>
        </w:rPr>
        <w:t xml:space="preserve">a receita anual com contribuições em cerca de R$ </w:t>
      </w:r>
      <w:r w:rsidR="008A4E73">
        <w:rPr>
          <w:sz w:val="24"/>
          <w:szCs w:val="24"/>
        </w:rPr>
        <w:t>302</w:t>
      </w:r>
      <w:r w:rsidR="000645CF">
        <w:rPr>
          <w:sz w:val="24"/>
          <w:szCs w:val="24"/>
        </w:rPr>
        <w:t xml:space="preserve"> milhões, piorando as projeções atuariais do Instituto de Previdência do Distrito Federal – IPREV</w:t>
      </w:r>
      <w:r w:rsidR="008A4E73">
        <w:rPr>
          <w:sz w:val="24"/>
          <w:szCs w:val="24"/>
        </w:rPr>
        <w:t>.</w:t>
      </w:r>
    </w:p>
    <w:p w:rsidR="004C1B4C" w:rsidRPr="0004492D" w:rsidRDefault="004C1B4C" w:rsidP="00611A3C">
      <w:pPr>
        <w:spacing w:before="240" w:after="240" w:line="360" w:lineRule="auto"/>
        <w:rPr>
          <w:b/>
          <w:bCs/>
          <w:sz w:val="24"/>
          <w:szCs w:val="24"/>
        </w:rPr>
      </w:pPr>
      <w:r w:rsidRPr="0004492D">
        <w:rPr>
          <w:b/>
          <w:sz w:val="24"/>
          <w:szCs w:val="24"/>
        </w:rPr>
        <w:t xml:space="preserve">MEDIDAS A SEREM </w:t>
      </w:r>
      <w:proofErr w:type="gramStart"/>
      <w:r w:rsidRPr="0004492D">
        <w:rPr>
          <w:b/>
          <w:sz w:val="24"/>
          <w:szCs w:val="24"/>
        </w:rPr>
        <w:t>ADOTADAS</w:t>
      </w:r>
      <w:r w:rsidR="0049668E">
        <w:rPr>
          <w:b/>
          <w:sz w:val="24"/>
          <w:szCs w:val="24"/>
        </w:rPr>
        <w:t xml:space="preserve"> </w:t>
      </w:r>
      <w:r w:rsidR="0004492D">
        <w:rPr>
          <w:b/>
          <w:sz w:val="24"/>
          <w:szCs w:val="24"/>
        </w:rPr>
        <w:t>CASO</w:t>
      </w:r>
      <w:proofErr w:type="gramEnd"/>
      <w:r w:rsidR="0004492D">
        <w:rPr>
          <w:b/>
          <w:sz w:val="24"/>
          <w:szCs w:val="24"/>
        </w:rPr>
        <w:t xml:space="preserve"> SE CONCRETIZEM OS </w:t>
      </w:r>
      <w:r w:rsidRPr="0004492D">
        <w:rPr>
          <w:b/>
          <w:sz w:val="24"/>
          <w:szCs w:val="24"/>
        </w:rPr>
        <w:t>RISCOS</w:t>
      </w:r>
      <w:r w:rsidR="004C50FA">
        <w:rPr>
          <w:b/>
          <w:sz w:val="24"/>
          <w:szCs w:val="24"/>
        </w:rPr>
        <w:t xml:space="preserve"> LISTADOS</w:t>
      </w:r>
    </w:p>
    <w:p w:rsidR="00EC7A71" w:rsidRPr="0004492D" w:rsidRDefault="00DE7584" w:rsidP="00974412">
      <w:pPr>
        <w:spacing w:before="120" w:after="120" w:line="360" w:lineRule="auto"/>
        <w:ind w:firstLine="1416"/>
        <w:jc w:val="both"/>
        <w:rPr>
          <w:sz w:val="24"/>
          <w:szCs w:val="24"/>
        </w:rPr>
      </w:pPr>
      <w:r w:rsidRPr="00DE7584">
        <w:rPr>
          <w:sz w:val="24"/>
          <w:szCs w:val="24"/>
        </w:rPr>
        <w:t xml:space="preserve">Embora a situação financeira do Distrito Federal apresente-se confortável no cumprimento dos limites e determinações constitucionais e legais, se ainda houver </w:t>
      </w:r>
      <w:r w:rsidR="00B63625" w:rsidRPr="00DE7584">
        <w:rPr>
          <w:sz w:val="24"/>
          <w:szCs w:val="24"/>
        </w:rPr>
        <w:t xml:space="preserve">a necessidade de solução </w:t>
      </w:r>
      <w:r w:rsidRPr="00DE7584">
        <w:rPr>
          <w:sz w:val="24"/>
          <w:szCs w:val="24"/>
        </w:rPr>
        <w:t xml:space="preserve">no curto prazo, </w:t>
      </w:r>
      <w:r w:rsidR="00B63625" w:rsidRPr="00DE7584">
        <w:rPr>
          <w:sz w:val="24"/>
          <w:szCs w:val="24"/>
        </w:rPr>
        <w:t>no</w:t>
      </w:r>
      <w:r w:rsidR="00F80214" w:rsidRPr="00DE7584">
        <w:rPr>
          <w:sz w:val="24"/>
          <w:szCs w:val="24"/>
        </w:rPr>
        <w:t>s</w:t>
      </w:r>
      <w:r w:rsidR="00B63625" w:rsidRPr="00DE7584">
        <w:rPr>
          <w:sz w:val="24"/>
          <w:szCs w:val="24"/>
        </w:rPr>
        <w:t xml:space="preserve"> caso</w:t>
      </w:r>
      <w:r w:rsidR="00F80214" w:rsidRPr="00DE7584">
        <w:rPr>
          <w:sz w:val="24"/>
          <w:szCs w:val="24"/>
        </w:rPr>
        <w:t>s</w:t>
      </w:r>
      <w:r w:rsidR="004204A3" w:rsidRPr="00DE7584">
        <w:rPr>
          <w:sz w:val="24"/>
          <w:szCs w:val="24"/>
        </w:rPr>
        <w:t xml:space="preserve"> de frustração de receitas t</w:t>
      </w:r>
      <w:r w:rsidR="00B63625" w:rsidRPr="00DE7584">
        <w:rPr>
          <w:sz w:val="24"/>
          <w:szCs w:val="24"/>
        </w:rPr>
        <w:t>ributária</w:t>
      </w:r>
      <w:r w:rsidR="004204A3" w:rsidRPr="00DE7584">
        <w:rPr>
          <w:sz w:val="24"/>
          <w:szCs w:val="24"/>
        </w:rPr>
        <w:t>s</w:t>
      </w:r>
      <w:r w:rsidR="00B63625" w:rsidRPr="00DE7584">
        <w:rPr>
          <w:sz w:val="24"/>
          <w:szCs w:val="24"/>
        </w:rPr>
        <w:t xml:space="preserve"> ou </w:t>
      </w:r>
      <w:r w:rsidR="008A4E73">
        <w:rPr>
          <w:sz w:val="24"/>
          <w:szCs w:val="24"/>
        </w:rPr>
        <w:t>da obrigatoriedade de liquidação dos</w:t>
      </w:r>
      <w:r w:rsidR="004C1B4C" w:rsidRPr="00DE7584">
        <w:rPr>
          <w:sz w:val="24"/>
          <w:szCs w:val="24"/>
        </w:rPr>
        <w:t xml:space="preserve"> </w:t>
      </w:r>
      <w:r w:rsidR="00B63625" w:rsidRPr="00DE7584">
        <w:rPr>
          <w:sz w:val="24"/>
          <w:szCs w:val="24"/>
        </w:rPr>
        <w:t>passivos</w:t>
      </w:r>
      <w:r w:rsidR="008A4E73">
        <w:rPr>
          <w:sz w:val="24"/>
          <w:szCs w:val="24"/>
        </w:rPr>
        <w:t xml:space="preserve"> </w:t>
      </w:r>
      <w:r w:rsidR="00B63625" w:rsidRPr="00DE7584">
        <w:rPr>
          <w:sz w:val="24"/>
          <w:szCs w:val="24"/>
        </w:rPr>
        <w:t>mencionados</w:t>
      </w:r>
      <w:r w:rsidR="00F80214" w:rsidRPr="00DE7584">
        <w:rPr>
          <w:sz w:val="24"/>
          <w:szCs w:val="24"/>
        </w:rPr>
        <w:t xml:space="preserve">, </w:t>
      </w:r>
      <w:r w:rsidRPr="00DE7584">
        <w:rPr>
          <w:sz w:val="24"/>
          <w:szCs w:val="24"/>
        </w:rPr>
        <w:t xml:space="preserve">este </w:t>
      </w:r>
      <w:r w:rsidR="00F80214" w:rsidRPr="00DE7584">
        <w:rPr>
          <w:sz w:val="24"/>
          <w:szCs w:val="24"/>
        </w:rPr>
        <w:t>Governo p</w:t>
      </w:r>
      <w:r w:rsidR="006006F1" w:rsidRPr="00DE7584">
        <w:rPr>
          <w:sz w:val="24"/>
          <w:szCs w:val="24"/>
        </w:rPr>
        <w:t>oderá</w:t>
      </w:r>
      <w:r w:rsidR="00EC373C" w:rsidRPr="00DE7584">
        <w:rPr>
          <w:sz w:val="24"/>
          <w:szCs w:val="24"/>
        </w:rPr>
        <w:t>,</w:t>
      </w:r>
      <w:r w:rsidR="00F80214" w:rsidRPr="00DE7584">
        <w:rPr>
          <w:sz w:val="24"/>
          <w:szCs w:val="24"/>
        </w:rPr>
        <w:t xml:space="preserve"> </w:t>
      </w:r>
      <w:r w:rsidR="008A4E73">
        <w:rPr>
          <w:sz w:val="24"/>
          <w:szCs w:val="24"/>
        </w:rPr>
        <w:t>à luz das possibilidades</w:t>
      </w:r>
      <w:r w:rsidR="00EC373C" w:rsidRPr="00DE7584">
        <w:rPr>
          <w:sz w:val="24"/>
          <w:szCs w:val="24"/>
        </w:rPr>
        <w:t>,</w:t>
      </w:r>
      <w:r w:rsidR="00F80214" w:rsidRPr="00DE7584">
        <w:rPr>
          <w:sz w:val="24"/>
          <w:szCs w:val="24"/>
        </w:rPr>
        <w:t xml:space="preserve"> </w:t>
      </w:r>
      <w:r w:rsidR="00EC373C" w:rsidRPr="00DE7584">
        <w:rPr>
          <w:sz w:val="24"/>
          <w:szCs w:val="24"/>
        </w:rPr>
        <w:t xml:space="preserve">promover </w:t>
      </w:r>
      <w:proofErr w:type="gramStart"/>
      <w:r w:rsidR="00EC373C" w:rsidRPr="00DE7584">
        <w:rPr>
          <w:sz w:val="24"/>
          <w:szCs w:val="24"/>
        </w:rPr>
        <w:t xml:space="preserve">a </w:t>
      </w:r>
      <w:r w:rsidR="00B63625" w:rsidRPr="00DE7584">
        <w:rPr>
          <w:sz w:val="24"/>
          <w:szCs w:val="24"/>
        </w:rPr>
        <w:t>reprogramação financeira dos recursos, contingencia</w:t>
      </w:r>
      <w:r w:rsidR="00EC373C" w:rsidRPr="00DE7584">
        <w:rPr>
          <w:sz w:val="24"/>
          <w:szCs w:val="24"/>
        </w:rPr>
        <w:t>ndo</w:t>
      </w:r>
      <w:r w:rsidR="00B63625" w:rsidRPr="00DE7584">
        <w:rPr>
          <w:sz w:val="24"/>
          <w:szCs w:val="24"/>
        </w:rPr>
        <w:t xml:space="preserve"> dotaç</w:t>
      </w:r>
      <w:r w:rsidR="00EC373C" w:rsidRPr="00DE7584">
        <w:rPr>
          <w:sz w:val="24"/>
          <w:szCs w:val="24"/>
        </w:rPr>
        <w:t>ões</w:t>
      </w:r>
      <w:r w:rsidR="00B63625" w:rsidRPr="00DE7584">
        <w:rPr>
          <w:sz w:val="24"/>
          <w:szCs w:val="24"/>
        </w:rPr>
        <w:t xml:space="preserve"> orçamentária</w:t>
      </w:r>
      <w:r w:rsidR="00EC373C" w:rsidRPr="00DE7584">
        <w:rPr>
          <w:sz w:val="24"/>
          <w:szCs w:val="24"/>
        </w:rPr>
        <w:t>s</w:t>
      </w:r>
      <w:r w:rsidR="001B1E6A" w:rsidRPr="00DE7584">
        <w:rPr>
          <w:sz w:val="24"/>
          <w:szCs w:val="24"/>
        </w:rPr>
        <w:t xml:space="preserve">, sobretudo, </w:t>
      </w:r>
      <w:r w:rsidR="00A21F03" w:rsidRPr="00DE7584">
        <w:rPr>
          <w:sz w:val="24"/>
          <w:szCs w:val="24"/>
        </w:rPr>
        <w:t>as</w:t>
      </w:r>
      <w:r w:rsidR="001B1E6A" w:rsidRPr="00DE7584">
        <w:rPr>
          <w:sz w:val="24"/>
          <w:szCs w:val="24"/>
        </w:rPr>
        <w:t xml:space="preserve"> </w:t>
      </w:r>
      <w:r w:rsidR="00CF7D9A" w:rsidRPr="00DE7584">
        <w:rPr>
          <w:sz w:val="24"/>
          <w:szCs w:val="24"/>
        </w:rPr>
        <w:t>r</w:t>
      </w:r>
      <w:r w:rsidR="004C1B4C" w:rsidRPr="00DE7584">
        <w:rPr>
          <w:sz w:val="24"/>
          <w:szCs w:val="24"/>
        </w:rPr>
        <w:t>elacionadas</w:t>
      </w:r>
      <w:proofErr w:type="gramEnd"/>
      <w:r w:rsidR="004C1B4C" w:rsidRPr="00DE7584">
        <w:rPr>
          <w:sz w:val="24"/>
          <w:szCs w:val="24"/>
        </w:rPr>
        <w:t xml:space="preserve"> às</w:t>
      </w:r>
      <w:r w:rsidR="00585ACA" w:rsidRPr="00DE7584">
        <w:rPr>
          <w:sz w:val="24"/>
          <w:szCs w:val="24"/>
        </w:rPr>
        <w:t xml:space="preserve"> despesas de investimentos</w:t>
      </w:r>
      <w:r w:rsidR="00B63625" w:rsidRPr="00DE7584">
        <w:rPr>
          <w:sz w:val="24"/>
          <w:szCs w:val="24"/>
        </w:rPr>
        <w:t>,</w:t>
      </w:r>
      <w:r w:rsidR="00F80214" w:rsidRPr="00DE7584">
        <w:rPr>
          <w:sz w:val="24"/>
          <w:szCs w:val="24"/>
        </w:rPr>
        <w:t xml:space="preserve"> bem como se utilizar dos recursos da reserva de contingência, na forma </w:t>
      </w:r>
      <w:r w:rsidR="008A7197" w:rsidRPr="00DE7584">
        <w:rPr>
          <w:sz w:val="24"/>
          <w:szCs w:val="24"/>
        </w:rPr>
        <w:t>disposta nesta Lei</w:t>
      </w:r>
      <w:r w:rsidR="00CF7D9A" w:rsidRPr="00DE7584">
        <w:rPr>
          <w:sz w:val="24"/>
          <w:szCs w:val="24"/>
        </w:rPr>
        <w:t xml:space="preserve">, </w:t>
      </w:r>
      <w:r w:rsidR="003752DA">
        <w:rPr>
          <w:sz w:val="24"/>
          <w:szCs w:val="24"/>
        </w:rPr>
        <w:t xml:space="preserve">e não concretizar </w:t>
      </w:r>
      <w:r w:rsidR="008A4E73">
        <w:rPr>
          <w:sz w:val="24"/>
          <w:szCs w:val="24"/>
        </w:rPr>
        <w:t>as concessões de</w:t>
      </w:r>
      <w:r w:rsidR="003752DA">
        <w:rPr>
          <w:sz w:val="24"/>
          <w:szCs w:val="24"/>
        </w:rPr>
        <w:t xml:space="preserve"> </w:t>
      </w:r>
      <w:r w:rsidR="008A4E73">
        <w:rPr>
          <w:sz w:val="24"/>
          <w:szCs w:val="24"/>
        </w:rPr>
        <w:t>aumentos de pessoal programados,</w:t>
      </w:r>
      <w:r w:rsidR="003752DA">
        <w:rPr>
          <w:sz w:val="24"/>
          <w:szCs w:val="24"/>
        </w:rPr>
        <w:t xml:space="preserve"> </w:t>
      </w:r>
      <w:r w:rsidRPr="00DE7584">
        <w:rPr>
          <w:sz w:val="24"/>
          <w:szCs w:val="24"/>
        </w:rPr>
        <w:t xml:space="preserve">além de promover as devidas alienações de seus ativos, observado o disposto no art. 9º </w:t>
      </w:r>
      <w:r w:rsidR="008A4E73">
        <w:rPr>
          <w:sz w:val="24"/>
          <w:szCs w:val="24"/>
        </w:rPr>
        <w:t xml:space="preserve">e 45 </w:t>
      </w:r>
      <w:r w:rsidRPr="00DE7584">
        <w:rPr>
          <w:sz w:val="24"/>
          <w:szCs w:val="24"/>
        </w:rPr>
        <w:t>da Lei de Responsabilidade Fiscal</w:t>
      </w:r>
      <w:r w:rsidR="0032136C">
        <w:rPr>
          <w:sz w:val="24"/>
          <w:szCs w:val="24"/>
        </w:rPr>
        <w:t xml:space="preserve">. Além disso, os valores a serem ressarcidos </w:t>
      </w:r>
      <w:r w:rsidR="008A4E73">
        <w:rPr>
          <w:sz w:val="24"/>
          <w:szCs w:val="24"/>
        </w:rPr>
        <w:t>deverão ser objeto de negociação com vistas ao seu parcelamento,</w:t>
      </w:r>
      <w:r w:rsidR="0032136C">
        <w:rPr>
          <w:sz w:val="24"/>
          <w:szCs w:val="24"/>
        </w:rPr>
        <w:t xml:space="preserve"> de modo a atenuar</w:t>
      </w:r>
      <w:r w:rsidR="00403BF0">
        <w:rPr>
          <w:sz w:val="24"/>
          <w:szCs w:val="24"/>
        </w:rPr>
        <w:t xml:space="preserve"> seus efeitos no exercício.</w:t>
      </w:r>
    </w:p>
    <w:sectPr w:rsidR="00EC7A71" w:rsidRPr="0004492D">
      <w:headerReference w:type="default" r:id="rId8"/>
      <w:footerReference w:type="even" r:id="rId9"/>
      <w:footerReference w:type="default" r:id="rId10"/>
      <w:pgSz w:w="11907" w:h="16840" w:code="9"/>
      <w:pgMar w:top="1134" w:right="992" w:bottom="993" w:left="1276" w:header="568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EFE" w:rsidRDefault="001E6EFE">
      <w:r>
        <w:separator/>
      </w:r>
    </w:p>
  </w:endnote>
  <w:endnote w:type="continuationSeparator" w:id="0">
    <w:p w:rsidR="001E6EFE" w:rsidRDefault="001E6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EA6" w:rsidRDefault="00604EA6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04EA6" w:rsidRDefault="00604EA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EA6" w:rsidRDefault="00604EA6">
    <w:pPr>
      <w:pStyle w:val="Rodap"/>
      <w:rPr>
        <w:sz w:val="16"/>
      </w:rPr>
    </w:pPr>
    <w:r>
      <w:t xml:space="preserve"> </w:t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EFE" w:rsidRDefault="001E6EFE">
      <w:r>
        <w:separator/>
      </w:r>
    </w:p>
  </w:footnote>
  <w:footnote w:type="continuationSeparator" w:id="0">
    <w:p w:rsidR="001E6EFE" w:rsidRDefault="001E6E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EA6" w:rsidRDefault="00604EA6">
    <w:pPr>
      <w:pStyle w:val="Cabealho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B431C"/>
    <w:multiLevelType w:val="multilevel"/>
    <w:tmpl w:val="4BDC84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189347D"/>
    <w:multiLevelType w:val="singleLevel"/>
    <w:tmpl w:val="C7C8ED68"/>
    <w:lvl w:ilvl="0">
      <w:start w:val="1999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">
    <w:nsid w:val="27A17F2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8A15A1E"/>
    <w:multiLevelType w:val="hybridMultilevel"/>
    <w:tmpl w:val="F416A584"/>
    <w:lvl w:ilvl="0" w:tplc="0416000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4">
    <w:nsid w:val="30061C5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29A7EA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2FB0B7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81F46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1F17104"/>
    <w:multiLevelType w:val="hybridMultilevel"/>
    <w:tmpl w:val="08527786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4D8B198F"/>
    <w:multiLevelType w:val="singleLevel"/>
    <w:tmpl w:val="53D22CC0"/>
    <w:lvl w:ilvl="0">
      <w:start w:val="6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63416F54"/>
    <w:multiLevelType w:val="singleLevel"/>
    <w:tmpl w:val="6BBEBC4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1">
    <w:nsid w:val="6D007100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10"/>
  </w:num>
  <w:num w:numId="8">
    <w:abstractNumId w:val="6"/>
  </w:num>
  <w:num w:numId="9">
    <w:abstractNumId w:val="4"/>
  </w:num>
  <w:num w:numId="10">
    <w:abstractNumId w:val="3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B5DF3"/>
    <w:rsid w:val="00001728"/>
    <w:rsid w:val="00002C70"/>
    <w:rsid w:val="0001552D"/>
    <w:rsid w:val="000203D5"/>
    <w:rsid w:val="00024D0E"/>
    <w:rsid w:val="000256EE"/>
    <w:rsid w:val="00031810"/>
    <w:rsid w:val="0003608E"/>
    <w:rsid w:val="00036096"/>
    <w:rsid w:val="0004492D"/>
    <w:rsid w:val="00044AE3"/>
    <w:rsid w:val="000452A3"/>
    <w:rsid w:val="00045DB9"/>
    <w:rsid w:val="000645CF"/>
    <w:rsid w:val="00084831"/>
    <w:rsid w:val="00090003"/>
    <w:rsid w:val="000926CF"/>
    <w:rsid w:val="000D4F6E"/>
    <w:rsid w:val="000F521F"/>
    <w:rsid w:val="00101311"/>
    <w:rsid w:val="00121805"/>
    <w:rsid w:val="001317C4"/>
    <w:rsid w:val="00133FCF"/>
    <w:rsid w:val="00141D04"/>
    <w:rsid w:val="00157359"/>
    <w:rsid w:val="0017019D"/>
    <w:rsid w:val="00171608"/>
    <w:rsid w:val="00172F4F"/>
    <w:rsid w:val="00195144"/>
    <w:rsid w:val="001A7679"/>
    <w:rsid w:val="001B1E6A"/>
    <w:rsid w:val="001B46DD"/>
    <w:rsid w:val="001B5B39"/>
    <w:rsid w:val="001C290F"/>
    <w:rsid w:val="001D0271"/>
    <w:rsid w:val="001D146B"/>
    <w:rsid w:val="001D46E6"/>
    <w:rsid w:val="001D5BBC"/>
    <w:rsid w:val="001E0FF7"/>
    <w:rsid w:val="001E2F86"/>
    <w:rsid w:val="001E6EFE"/>
    <w:rsid w:val="001E6FEC"/>
    <w:rsid w:val="001E7F99"/>
    <w:rsid w:val="001F661A"/>
    <w:rsid w:val="001F70A5"/>
    <w:rsid w:val="00210209"/>
    <w:rsid w:val="002119A3"/>
    <w:rsid w:val="00222EB3"/>
    <w:rsid w:val="002322C8"/>
    <w:rsid w:val="00251761"/>
    <w:rsid w:val="00257B47"/>
    <w:rsid w:val="0027083A"/>
    <w:rsid w:val="00275F1E"/>
    <w:rsid w:val="00276C81"/>
    <w:rsid w:val="00277AAE"/>
    <w:rsid w:val="00286907"/>
    <w:rsid w:val="0029647A"/>
    <w:rsid w:val="002B499B"/>
    <w:rsid w:val="002B548C"/>
    <w:rsid w:val="002C5834"/>
    <w:rsid w:val="002D5C7A"/>
    <w:rsid w:val="002E057B"/>
    <w:rsid w:val="002E17C1"/>
    <w:rsid w:val="002E3C45"/>
    <w:rsid w:val="002E5505"/>
    <w:rsid w:val="002F1D10"/>
    <w:rsid w:val="002F39BE"/>
    <w:rsid w:val="002F662B"/>
    <w:rsid w:val="00306DAA"/>
    <w:rsid w:val="0032136C"/>
    <w:rsid w:val="003256DC"/>
    <w:rsid w:val="0032750D"/>
    <w:rsid w:val="00327C19"/>
    <w:rsid w:val="00334118"/>
    <w:rsid w:val="00335839"/>
    <w:rsid w:val="00336A4F"/>
    <w:rsid w:val="00343DDD"/>
    <w:rsid w:val="003513E5"/>
    <w:rsid w:val="00352117"/>
    <w:rsid w:val="00352E65"/>
    <w:rsid w:val="003679D7"/>
    <w:rsid w:val="00371004"/>
    <w:rsid w:val="0037208F"/>
    <w:rsid w:val="003752DA"/>
    <w:rsid w:val="003901E9"/>
    <w:rsid w:val="003920F0"/>
    <w:rsid w:val="0039471B"/>
    <w:rsid w:val="003A0DBA"/>
    <w:rsid w:val="003A2CE9"/>
    <w:rsid w:val="003A2E7D"/>
    <w:rsid w:val="003A75DD"/>
    <w:rsid w:val="003B58CC"/>
    <w:rsid w:val="003B7BE2"/>
    <w:rsid w:val="003C2A96"/>
    <w:rsid w:val="003F4CE2"/>
    <w:rsid w:val="00401B5D"/>
    <w:rsid w:val="004033F9"/>
    <w:rsid w:val="00403BF0"/>
    <w:rsid w:val="00415D00"/>
    <w:rsid w:val="004204A3"/>
    <w:rsid w:val="00426F76"/>
    <w:rsid w:val="00430483"/>
    <w:rsid w:val="0043186D"/>
    <w:rsid w:val="00445A08"/>
    <w:rsid w:val="00453FA3"/>
    <w:rsid w:val="00455A62"/>
    <w:rsid w:val="004811B6"/>
    <w:rsid w:val="0049668E"/>
    <w:rsid w:val="004A1FFD"/>
    <w:rsid w:val="004A2929"/>
    <w:rsid w:val="004A7BA8"/>
    <w:rsid w:val="004C1B4C"/>
    <w:rsid w:val="004C50FA"/>
    <w:rsid w:val="004C5D99"/>
    <w:rsid w:val="004D3089"/>
    <w:rsid w:val="004E39E1"/>
    <w:rsid w:val="004F11F0"/>
    <w:rsid w:val="004F4829"/>
    <w:rsid w:val="00534622"/>
    <w:rsid w:val="005372D2"/>
    <w:rsid w:val="00540206"/>
    <w:rsid w:val="00543784"/>
    <w:rsid w:val="005523D3"/>
    <w:rsid w:val="005620DA"/>
    <w:rsid w:val="00575C01"/>
    <w:rsid w:val="00585ACA"/>
    <w:rsid w:val="005876EF"/>
    <w:rsid w:val="005939B2"/>
    <w:rsid w:val="005A7823"/>
    <w:rsid w:val="005B5F97"/>
    <w:rsid w:val="005C0C23"/>
    <w:rsid w:val="005D3B82"/>
    <w:rsid w:val="005F42FE"/>
    <w:rsid w:val="006006F1"/>
    <w:rsid w:val="00604EA6"/>
    <w:rsid w:val="00605ECF"/>
    <w:rsid w:val="006065C1"/>
    <w:rsid w:val="00611A3C"/>
    <w:rsid w:val="00631642"/>
    <w:rsid w:val="006344EE"/>
    <w:rsid w:val="0063523F"/>
    <w:rsid w:val="00635549"/>
    <w:rsid w:val="0064785F"/>
    <w:rsid w:val="00650F99"/>
    <w:rsid w:val="006523E3"/>
    <w:rsid w:val="0065308B"/>
    <w:rsid w:val="00672A2D"/>
    <w:rsid w:val="00673161"/>
    <w:rsid w:val="00677EBC"/>
    <w:rsid w:val="00683B8F"/>
    <w:rsid w:val="006849E3"/>
    <w:rsid w:val="00685A69"/>
    <w:rsid w:val="00687FEA"/>
    <w:rsid w:val="006B1E9D"/>
    <w:rsid w:val="006B28F4"/>
    <w:rsid w:val="006C0E3D"/>
    <w:rsid w:val="006D2167"/>
    <w:rsid w:val="006E121D"/>
    <w:rsid w:val="006F0BBD"/>
    <w:rsid w:val="006F5E05"/>
    <w:rsid w:val="00700590"/>
    <w:rsid w:val="0070189D"/>
    <w:rsid w:val="00703500"/>
    <w:rsid w:val="00722866"/>
    <w:rsid w:val="00727C83"/>
    <w:rsid w:val="0073294F"/>
    <w:rsid w:val="007357BE"/>
    <w:rsid w:val="00743057"/>
    <w:rsid w:val="00746022"/>
    <w:rsid w:val="00760BBB"/>
    <w:rsid w:val="00765E26"/>
    <w:rsid w:val="00766860"/>
    <w:rsid w:val="00772C10"/>
    <w:rsid w:val="00793746"/>
    <w:rsid w:val="00794309"/>
    <w:rsid w:val="007A303C"/>
    <w:rsid w:val="007B0223"/>
    <w:rsid w:val="007C0E36"/>
    <w:rsid w:val="007C31E0"/>
    <w:rsid w:val="007C74E6"/>
    <w:rsid w:val="007D0C5D"/>
    <w:rsid w:val="007E0B94"/>
    <w:rsid w:val="007E11C2"/>
    <w:rsid w:val="007E5EF3"/>
    <w:rsid w:val="007E6CFA"/>
    <w:rsid w:val="007F2C06"/>
    <w:rsid w:val="00806A62"/>
    <w:rsid w:val="0081531E"/>
    <w:rsid w:val="00815D90"/>
    <w:rsid w:val="00837AEC"/>
    <w:rsid w:val="00844233"/>
    <w:rsid w:val="00851228"/>
    <w:rsid w:val="0085330F"/>
    <w:rsid w:val="00853978"/>
    <w:rsid w:val="00853FD2"/>
    <w:rsid w:val="00855649"/>
    <w:rsid w:val="00867695"/>
    <w:rsid w:val="00867B75"/>
    <w:rsid w:val="008721ED"/>
    <w:rsid w:val="00873254"/>
    <w:rsid w:val="00887A90"/>
    <w:rsid w:val="008923C3"/>
    <w:rsid w:val="008A221D"/>
    <w:rsid w:val="008A4E73"/>
    <w:rsid w:val="008A7197"/>
    <w:rsid w:val="008B320E"/>
    <w:rsid w:val="008C22E5"/>
    <w:rsid w:val="008C67B4"/>
    <w:rsid w:val="008D3AF2"/>
    <w:rsid w:val="008D5C4D"/>
    <w:rsid w:val="008D7DA6"/>
    <w:rsid w:val="00910E51"/>
    <w:rsid w:val="00914DD2"/>
    <w:rsid w:val="00915EF2"/>
    <w:rsid w:val="00916EF9"/>
    <w:rsid w:val="0092297F"/>
    <w:rsid w:val="00925D75"/>
    <w:rsid w:val="00926C38"/>
    <w:rsid w:val="00931016"/>
    <w:rsid w:val="00932B5E"/>
    <w:rsid w:val="0093486B"/>
    <w:rsid w:val="00935B9E"/>
    <w:rsid w:val="00936371"/>
    <w:rsid w:val="00943DFA"/>
    <w:rsid w:val="00944E2A"/>
    <w:rsid w:val="00955E59"/>
    <w:rsid w:val="00963D66"/>
    <w:rsid w:val="009660C7"/>
    <w:rsid w:val="00970698"/>
    <w:rsid w:val="00974412"/>
    <w:rsid w:val="00981D55"/>
    <w:rsid w:val="00982665"/>
    <w:rsid w:val="0098497C"/>
    <w:rsid w:val="0098560E"/>
    <w:rsid w:val="009A4F4B"/>
    <w:rsid w:val="009B27D2"/>
    <w:rsid w:val="009B7BD3"/>
    <w:rsid w:val="009C7303"/>
    <w:rsid w:val="009D544F"/>
    <w:rsid w:val="009E233C"/>
    <w:rsid w:val="009E4284"/>
    <w:rsid w:val="00A075D1"/>
    <w:rsid w:val="00A1714D"/>
    <w:rsid w:val="00A21F03"/>
    <w:rsid w:val="00A3420E"/>
    <w:rsid w:val="00A348C8"/>
    <w:rsid w:val="00A36F97"/>
    <w:rsid w:val="00A40CFB"/>
    <w:rsid w:val="00A42232"/>
    <w:rsid w:val="00A56E3A"/>
    <w:rsid w:val="00A574CB"/>
    <w:rsid w:val="00A64878"/>
    <w:rsid w:val="00A72017"/>
    <w:rsid w:val="00A730D2"/>
    <w:rsid w:val="00A843E5"/>
    <w:rsid w:val="00A90DBD"/>
    <w:rsid w:val="00A91E12"/>
    <w:rsid w:val="00A971D9"/>
    <w:rsid w:val="00AC3FE4"/>
    <w:rsid w:val="00AC6045"/>
    <w:rsid w:val="00AC7FE9"/>
    <w:rsid w:val="00AD0B3E"/>
    <w:rsid w:val="00AD25A5"/>
    <w:rsid w:val="00AD5634"/>
    <w:rsid w:val="00AE0F5D"/>
    <w:rsid w:val="00AE4E56"/>
    <w:rsid w:val="00B205BE"/>
    <w:rsid w:val="00B24A81"/>
    <w:rsid w:val="00B25A3F"/>
    <w:rsid w:val="00B41BA5"/>
    <w:rsid w:val="00B43B53"/>
    <w:rsid w:val="00B51F46"/>
    <w:rsid w:val="00B568F1"/>
    <w:rsid w:val="00B57C8A"/>
    <w:rsid w:val="00B621D1"/>
    <w:rsid w:val="00B63625"/>
    <w:rsid w:val="00B64AEE"/>
    <w:rsid w:val="00B932B2"/>
    <w:rsid w:val="00B94712"/>
    <w:rsid w:val="00BB0FD0"/>
    <w:rsid w:val="00BB3F5A"/>
    <w:rsid w:val="00BB6B8A"/>
    <w:rsid w:val="00BB7DC3"/>
    <w:rsid w:val="00BC0F66"/>
    <w:rsid w:val="00BC4AF9"/>
    <w:rsid w:val="00BC7B36"/>
    <w:rsid w:val="00BD0588"/>
    <w:rsid w:val="00BD5A59"/>
    <w:rsid w:val="00C0268D"/>
    <w:rsid w:val="00C1184D"/>
    <w:rsid w:val="00C225E1"/>
    <w:rsid w:val="00C23FF4"/>
    <w:rsid w:val="00C25AD1"/>
    <w:rsid w:val="00C331F9"/>
    <w:rsid w:val="00C36447"/>
    <w:rsid w:val="00C47E14"/>
    <w:rsid w:val="00C701C5"/>
    <w:rsid w:val="00C8333C"/>
    <w:rsid w:val="00C84F76"/>
    <w:rsid w:val="00C868BD"/>
    <w:rsid w:val="00C86DFF"/>
    <w:rsid w:val="00CA1AB7"/>
    <w:rsid w:val="00CB5D49"/>
    <w:rsid w:val="00CB5DF3"/>
    <w:rsid w:val="00CC4184"/>
    <w:rsid w:val="00CD1A71"/>
    <w:rsid w:val="00CE0E8F"/>
    <w:rsid w:val="00CF03C7"/>
    <w:rsid w:val="00CF6290"/>
    <w:rsid w:val="00CF7D9A"/>
    <w:rsid w:val="00D03463"/>
    <w:rsid w:val="00D11262"/>
    <w:rsid w:val="00D136A8"/>
    <w:rsid w:val="00D20560"/>
    <w:rsid w:val="00D404BC"/>
    <w:rsid w:val="00D42F3D"/>
    <w:rsid w:val="00D4742A"/>
    <w:rsid w:val="00D50BE1"/>
    <w:rsid w:val="00D5181F"/>
    <w:rsid w:val="00D5283A"/>
    <w:rsid w:val="00D5715E"/>
    <w:rsid w:val="00D665D7"/>
    <w:rsid w:val="00DA4891"/>
    <w:rsid w:val="00DB01E0"/>
    <w:rsid w:val="00DB1BCA"/>
    <w:rsid w:val="00DB3718"/>
    <w:rsid w:val="00DE09A1"/>
    <w:rsid w:val="00DE401C"/>
    <w:rsid w:val="00DE7584"/>
    <w:rsid w:val="00E00F30"/>
    <w:rsid w:val="00E0614E"/>
    <w:rsid w:val="00E207B0"/>
    <w:rsid w:val="00E22AD8"/>
    <w:rsid w:val="00E22D86"/>
    <w:rsid w:val="00E30533"/>
    <w:rsid w:val="00E4062A"/>
    <w:rsid w:val="00E41058"/>
    <w:rsid w:val="00E452EF"/>
    <w:rsid w:val="00E61524"/>
    <w:rsid w:val="00E65DDC"/>
    <w:rsid w:val="00E6729D"/>
    <w:rsid w:val="00E6765A"/>
    <w:rsid w:val="00E71D70"/>
    <w:rsid w:val="00E80AA1"/>
    <w:rsid w:val="00E913DA"/>
    <w:rsid w:val="00E9691D"/>
    <w:rsid w:val="00E971BA"/>
    <w:rsid w:val="00E97A5B"/>
    <w:rsid w:val="00EA51E7"/>
    <w:rsid w:val="00EB5FEE"/>
    <w:rsid w:val="00EC0497"/>
    <w:rsid w:val="00EC373C"/>
    <w:rsid w:val="00EC7A71"/>
    <w:rsid w:val="00EE2209"/>
    <w:rsid w:val="00EE4D47"/>
    <w:rsid w:val="00EF160E"/>
    <w:rsid w:val="00EF3403"/>
    <w:rsid w:val="00EF4F2A"/>
    <w:rsid w:val="00F00D8F"/>
    <w:rsid w:val="00F233ED"/>
    <w:rsid w:val="00F24842"/>
    <w:rsid w:val="00F2535F"/>
    <w:rsid w:val="00F514DE"/>
    <w:rsid w:val="00F56ACC"/>
    <w:rsid w:val="00F653ED"/>
    <w:rsid w:val="00F65ECC"/>
    <w:rsid w:val="00F66A08"/>
    <w:rsid w:val="00F74E23"/>
    <w:rsid w:val="00F80214"/>
    <w:rsid w:val="00FA5826"/>
    <w:rsid w:val="00FC4D3B"/>
    <w:rsid w:val="00FE612A"/>
    <w:rsid w:val="00FE69D1"/>
    <w:rsid w:val="00FF0AA6"/>
    <w:rsid w:val="00FF3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ind w:firstLine="708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firstLine="708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ind w:right="-851"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ind w:left="1416" w:right="-851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ind w:right="-851"/>
      <w:jc w:val="right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ind w:right="-851"/>
      <w:jc w:val="center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b/>
      <w:color w:val="000000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firstLine="708"/>
      <w:jc w:val="both"/>
    </w:pPr>
    <w:rPr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1418"/>
      <w:jc w:val="both"/>
    </w:pPr>
    <w:rPr>
      <w:sz w:val="24"/>
    </w:rPr>
  </w:style>
  <w:style w:type="paragraph" w:styleId="Recuodecorpodetexto3">
    <w:name w:val="Body Text Indent 3"/>
    <w:basedOn w:val="Normal"/>
    <w:pPr>
      <w:ind w:right="-851" w:firstLine="1418"/>
      <w:jc w:val="both"/>
    </w:pPr>
    <w:rPr>
      <w:sz w:val="24"/>
    </w:rPr>
  </w:style>
  <w:style w:type="character" w:styleId="Refdecomentrio">
    <w:name w:val="annotation reference"/>
    <w:basedOn w:val="Fontepargpadro"/>
    <w:semiHidden/>
    <w:rPr>
      <w:sz w:val="16"/>
    </w:rPr>
  </w:style>
  <w:style w:type="paragraph" w:styleId="Textodecomentrio">
    <w:name w:val="annotation text"/>
    <w:basedOn w:val="Normal"/>
    <w:semiHidden/>
  </w:style>
  <w:style w:type="paragraph" w:styleId="Textodenotadefim">
    <w:name w:val="endnote text"/>
    <w:basedOn w:val="Normal"/>
    <w:semiHidden/>
  </w:style>
  <w:style w:type="character" w:styleId="Refdenotadefim">
    <w:name w:val="endnote reference"/>
    <w:basedOn w:val="Fontepargpadro"/>
    <w:semiHidden/>
    <w:rPr>
      <w:vertAlign w:val="superscript"/>
    </w:r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Legenda">
    <w:name w:val="caption"/>
    <w:basedOn w:val="Normal"/>
    <w:next w:val="Normal"/>
    <w:qFormat/>
    <w:pPr>
      <w:ind w:right="-851"/>
    </w:pPr>
    <w:rPr>
      <w:sz w:val="24"/>
    </w:rPr>
  </w:style>
  <w:style w:type="paragraph" w:styleId="Corpodetexto">
    <w:name w:val="Body Text"/>
    <w:basedOn w:val="Normal"/>
    <w:pPr>
      <w:ind w:right="-851"/>
    </w:pPr>
    <w:rPr>
      <w:sz w:val="24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center"/>
    </w:pPr>
    <w:rPr>
      <w:sz w:val="24"/>
    </w:rPr>
  </w:style>
  <w:style w:type="table" w:styleId="Tabelacomgrade">
    <w:name w:val="Table Grid"/>
    <w:basedOn w:val="Tabelanormal"/>
    <w:rsid w:val="009B7B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585ACA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4E39E1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72967-12E5-414E-8486-CFCD17A52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2359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DISTRITO FEDERAL</vt:lpstr>
    </vt:vector>
  </TitlesOfParts>
  <Company>Secretaria de Planejamento</Company>
  <LinksUpToDate>false</LinksUpToDate>
  <CharactersWithSpaces>16099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DISTRITO FEDERAL</dc:title>
  <dc:creator>SEPLAN</dc:creator>
  <cp:lastModifiedBy>marcelo.cadete</cp:lastModifiedBy>
  <cp:revision>2</cp:revision>
  <cp:lastPrinted>2013-05-07T14:13:00Z</cp:lastPrinted>
  <dcterms:created xsi:type="dcterms:W3CDTF">2013-05-16T13:45:00Z</dcterms:created>
  <dcterms:modified xsi:type="dcterms:W3CDTF">2013-05-16T13:45:00Z</dcterms:modified>
</cp:coreProperties>
</file>