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8" w:rsidRPr="005561FA" w:rsidRDefault="00E9511B" w:rsidP="005561FA">
      <w:pPr>
        <w:pStyle w:val="Cabealho"/>
        <w:tabs>
          <w:tab w:val="clear" w:pos="4419"/>
          <w:tab w:val="clear" w:pos="8838"/>
        </w:tabs>
        <w:jc w:val="both"/>
        <w:rPr>
          <w:b/>
          <w:sz w:val="28"/>
          <w:szCs w:val="28"/>
        </w:rPr>
      </w:pPr>
      <w:r w:rsidRPr="005561F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32.6pt;margin-top:-27.65pt;width:73.2pt;height:64.8pt;z-index:251659264;mso-width-relative:margin;mso-height-relative:margin" filled="f" stroked="f">
            <v:textbox>
              <w:txbxContent>
                <w:p w:rsidR="00C41A49" w:rsidRDefault="005A675C" w:rsidP="00D409CC">
                  <w:r>
                    <w:rPr>
                      <w:noProof/>
                    </w:rPr>
                    <w:drawing>
                      <wp:inline distT="0" distB="0" distL="0" distR="0">
                        <wp:extent cx="742950" cy="752475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09CC" w:rsidRPr="005561FA">
        <w:rPr>
          <w:b/>
          <w:noProof/>
          <w:sz w:val="28"/>
          <w:szCs w:val="28"/>
        </w:rPr>
        <w:pict>
          <v:shape id="_x0000_s1034" type="#_x0000_t202" style="position:absolute;left:0;text-align:left;margin-left:62pt;margin-top:-18.6pt;width:370.6pt;height:63pt;z-index:251657216" stroked="f">
            <v:textbox style="mso-next-textbox:#_x0000_s1034">
              <w:txbxContent>
                <w:p w:rsidR="00C41A49" w:rsidRPr="001F1327" w:rsidRDefault="00C41A49">
                  <w:pPr>
                    <w:pStyle w:val="Ttulo2"/>
                    <w:rPr>
                      <w:rFonts w:ascii="Arial" w:hAnsi="Arial" w:cs="Arial"/>
                    </w:rPr>
                  </w:pPr>
                  <w:r w:rsidRPr="001F1327">
                    <w:rPr>
                      <w:rFonts w:ascii="Arial" w:hAnsi="Arial" w:cs="Arial"/>
                    </w:rPr>
                    <w:t>GOVERNO DO DISTRITO FEDERAL</w:t>
                  </w:r>
                </w:p>
                <w:p w:rsidR="00C41A49" w:rsidRPr="001F1327" w:rsidRDefault="00C41A49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1F1327">
                    <w:rPr>
                      <w:rFonts w:ascii="Arial" w:hAnsi="Arial" w:cs="Arial"/>
                      <w:b/>
                    </w:rPr>
                    <w:t>SECRETARIA DE ESTADO DE PLANEJAMENTO</w:t>
                  </w:r>
                  <w:r>
                    <w:rPr>
                      <w:rFonts w:ascii="Arial" w:hAnsi="Arial" w:cs="Arial"/>
                      <w:b/>
                    </w:rPr>
                    <w:t xml:space="preserve"> E ORÇAMENTO</w:t>
                  </w:r>
                </w:p>
                <w:p w:rsidR="00C41A49" w:rsidRPr="001F1327" w:rsidRDefault="00C41A49">
                  <w:pPr>
                    <w:pStyle w:val="Ttulo3"/>
                    <w:rPr>
                      <w:b/>
                    </w:rPr>
                  </w:pPr>
                  <w:r>
                    <w:rPr>
                      <w:b/>
                    </w:rPr>
                    <w:t xml:space="preserve">GABINETE </w:t>
                  </w:r>
                </w:p>
              </w:txbxContent>
            </v:textbox>
          </v:shape>
        </w:pict>
      </w:r>
      <w:r w:rsidR="00672A68" w:rsidRPr="005561FA">
        <w:rPr>
          <w:b/>
          <w:noProof/>
          <w:sz w:val="28"/>
          <w:szCs w:val="28"/>
        </w:rPr>
        <w:pict>
          <v:line id="_x0000_s1035" style="position:absolute;left:0;text-align:left;z-index:251658240" from="1.35pt,44.4pt" to="496.35pt,44.4pt"/>
        </w:pict>
      </w:r>
      <w:r w:rsidR="00672A68" w:rsidRPr="005561F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3" o:spid="_x0000_s1026" type="#_x0000_t75" style="position:absolute;left:0;text-align:left;margin-left:-6pt;margin-top:-27.65pt;width:57.6pt;height:64.8pt;z-index:251656192" o:allowincell="f" filled="t">
            <v:imagedata r:id="rId8" o:title=""/>
            <w10:wrap type="topAndBottom"/>
          </v:shape>
          <o:OLEObject Type="Embed" ProgID="PBrush" ShapeID="Figura 3" DrawAspect="Content" ObjectID="_1430206351" r:id="rId9"/>
        </w:pict>
      </w:r>
    </w:p>
    <w:p w:rsidR="005E3B36" w:rsidRPr="005561FA" w:rsidRDefault="005E3B36" w:rsidP="005561FA">
      <w:pPr>
        <w:pStyle w:val="Cabealho"/>
        <w:tabs>
          <w:tab w:val="clear" w:pos="4419"/>
          <w:tab w:val="clear" w:pos="8838"/>
        </w:tabs>
        <w:jc w:val="both"/>
        <w:rPr>
          <w:sz w:val="28"/>
          <w:szCs w:val="28"/>
        </w:rPr>
      </w:pPr>
    </w:p>
    <w:p w:rsidR="005561FA" w:rsidRPr="00322825" w:rsidRDefault="005561FA" w:rsidP="005561FA">
      <w:pPr>
        <w:pStyle w:val="Ttulo"/>
        <w:jc w:val="both"/>
        <w:outlineLvl w:val="0"/>
        <w:rPr>
          <w:b w:val="0"/>
          <w:sz w:val="28"/>
          <w:szCs w:val="28"/>
        </w:rPr>
      </w:pPr>
      <w:r w:rsidRPr="00322825">
        <w:rPr>
          <w:b w:val="0"/>
          <w:sz w:val="28"/>
          <w:szCs w:val="28"/>
        </w:rPr>
        <w:t>E</w:t>
      </w:r>
      <w:r w:rsidR="00FC7EFA">
        <w:rPr>
          <w:b w:val="0"/>
          <w:sz w:val="28"/>
          <w:szCs w:val="28"/>
        </w:rPr>
        <w:t>.M.</w:t>
      </w:r>
      <w:r w:rsidRPr="00322825">
        <w:rPr>
          <w:b w:val="0"/>
          <w:sz w:val="28"/>
          <w:szCs w:val="28"/>
        </w:rPr>
        <w:t xml:space="preserve"> </w:t>
      </w:r>
    </w:p>
    <w:p w:rsidR="005561FA" w:rsidRPr="00322825" w:rsidRDefault="005561FA" w:rsidP="005561FA">
      <w:pPr>
        <w:pStyle w:val="Ttulo"/>
        <w:jc w:val="both"/>
        <w:outlineLvl w:val="0"/>
        <w:rPr>
          <w:b w:val="0"/>
          <w:sz w:val="28"/>
          <w:szCs w:val="28"/>
        </w:rPr>
      </w:pPr>
      <w:r w:rsidRPr="00322825">
        <w:rPr>
          <w:b w:val="0"/>
          <w:sz w:val="28"/>
          <w:szCs w:val="28"/>
        </w:rPr>
        <w:t xml:space="preserve">Nº.  </w:t>
      </w:r>
      <w:r w:rsidR="00886F8E">
        <w:rPr>
          <w:b w:val="0"/>
          <w:sz w:val="28"/>
          <w:szCs w:val="28"/>
        </w:rPr>
        <w:t xml:space="preserve">   </w:t>
      </w:r>
      <w:r w:rsidR="00D302E4" w:rsidRPr="00F645A8">
        <w:rPr>
          <w:b w:val="0"/>
          <w:color w:val="0000FF"/>
          <w:sz w:val="28"/>
          <w:szCs w:val="28"/>
        </w:rPr>
        <w:t>15</w:t>
      </w:r>
      <w:r w:rsidR="00F645A8">
        <w:rPr>
          <w:b w:val="0"/>
          <w:sz w:val="28"/>
          <w:szCs w:val="28"/>
        </w:rPr>
        <w:t xml:space="preserve"> </w:t>
      </w:r>
      <w:r w:rsidRPr="00322825">
        <w:rPr>
          <w:b w:val="0"/>
          <w:sz w:val="28"/>
          <w:szCs w:val="28"/>
        </w:rPr>
        <w:t>/201</w:t>
      </w:r>
      <w:r w:rsidR="0080699F">
        <w:rPr>
          <w:b w:val="0"/>
          <w:sz w:val="28"/>
          <w:szCs w:val="28"/>
        </w:rPr>
        <w:t>3</w:t>
      </w:r>
      <w:r w:rsidRPr="00322825">
        <w:rPr>
          <w:b w:val="0"/>
          <w:sz w:val="28"/>
          <w:szCs w:val="28"/>
        </w:rPr>
        <w:t xml:space="preserve">-GAB/SEPLAN               </w:t>
      </w:r>
      <w:r w:rsidR="001F1A6B">
        <w:rPr>
          <w:b w:val="0"/>
          <w:sz w:val="28"/>
          <w:szCs w:val="28"/>
        </w:rPr>
        <w:t xml:space="preserve">                   Brasília, </w:t>
      </w:r>
      <w:r w:rsidR="002268E7" w:rsidRPr="002268E7">
        <w:rPr>
          <w:b w:val="0"/>
          <w:color w:val="0000FF"/>
          <w:sz w:val="28"/>
          <w:szCs w:val="28"/>
        </w:rPr>
        <w:t>15</w:t>
      </w:r>
      <w:r w:rsidR="002268E7">
        <w:rPr>
          <w:b w:val="0"/>
          <w:sz w:val="28"/>
          <w:szCs w:val="28"/>
        </w:rPr>
        <w:t xml:space="preserve"> </w:t>
      </w:r>
      <w:r w:rsidRPr="00322825">
        <w:rPr>
          <w:b w:val="0"/>
          <w:sz w:val="28"/>
          <w:szCs w:val="28"/>
        </w:rPr>
        <w:t>de maio de 201</w:t>
      </w:r>
      <w:r w:rsidR="0080699F">
        <w:rPr>
          <w:b w:val="0"/>
          <w:sz w:val="28"/>
          <w:szCs w:val="28"/>
        </w:rPr>
        <w:t>3</w:t>
      </w:r>
      <w:r w:rsidRPr="00322825">
        <w:rPr>
          <w:b w:val="0"/>
          <w:sz w:val="28"/>
          <w:szCs w:val="28"/>
        </w:rPr>
        <w:t xml:space="preserve">. </w:t>
      </w:r>
    </w:p>
    <w:p w:rsidR="005561FA" w:rsidRPr="00322825" w:rsidRDefault="005561FA" w:rsidP="005561FA">
      <w:pPr>
        <w:pStyle w:val="Ttulo"/>
        <w:tabs>
          <w:tab w:val="right" w:pos="9639"/>
        </w:tabs>
        <w:jc w:val="both"/>
        <w:rPr>
          <w:b w:val="0"/>
          <w:sz w:val="28"/>
          <w:szCs w:val="28"/>
        </w:rPr>
      </w:pPr>
    </w:p>
    <w:p w:rsidR="005561FA" w:rsidRPr="005561FA" w:rsidRDefault="005561F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5561FA" w:rsidRDefault="005561F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AB0F6A" w:rsidRDefault="00AB0F6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AB0F6A" w:rsidRPr="005561FA" w:rsidRDefault="00AB0F6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5561FA" w:rsidRPr="005561FA" w:rsidRDefault="005561F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5561FA" w:rsidRPr="00322825" w:rsidRDefault="005561FA" w:rsidP="00FC7EFA">
      <w:pPr>
        <w:pStyle w:val="Ttulo"/>
        <w:tabs>
          <w:tab w:val="right" w:pos="10206"/>
        </w:tabs>
        <w:ind w:firstLine="1701"/>
        <w:jc w:val="both"/>
        <w:rPr>
          <w:b w:val="0"/>
          <w:sz w:val="28"/>
          <w:szCs w:val="28"/>
        </w:rPr>
      </w:pPr>
      <w:r w:rsidRPr="00322825">
        <w:rPr>
          <w:b w:val="0"/>
          <w:sz w:val="28"/>
          <w:szCs w:val="28"/>
        </w:rPr>
        <w:t>Excelentíssimo Senhor Governador do Distrito Federal,</w:t>
      </w:r>
    </w:p>
    <w:p w:rsidR="005561FA" w:rsidRPr="005561FA" w:rsidRDefault="005561F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5561FA" w:rsidRPr="005561FA" w:rsidRDefault="005561FA" w:rsidP="005561FA">
      <w:pPr>
        <w:pStyle w:val="Ttulo"/>
        <w:tabs>
          <w:tab w:val="right" w:pos="10206"/>
        </w:tabs>
        <w:jc w:val="both"/>
        <w:rPr>
          <w:sz w:val="28"/>
          <w:szCs w:val="28"/>
        </w:rPr>
      </w:pPr>
    </w:p>
    <w:p w:rsidR="005561FA" w:rsidRDefault="005561FA" w:rsidP="005561FA">
      <w:pPr>
        <w:pStyle w:val="Corpodetexto"/>
        <w:tabs>
          <w:tab w:val="left" w:pos="1701"/>
        </w:tabs>
        <w:ind w:firstLine="1701"/>
        <w:rPr>
          <w:sz w:val="28"/>
          <w:szCs w:val="28"/>
        </w:rPr>
      </w:pPr>
      <w:r w:rsidRPr="005561FA">
        <w:rPr>
          <w:sz w:val="28"/>
          <w:szCs w:val="28"/>
        </w:rPr>
        <w:t xml:space="preserve">Tenho a honra de submeter à elevada consideração de Vossa Excelência o anexo </w:t>
      </w:r>
      <w:r w:rsidR="00886F8E">
        <w:rPr>
          <w:sz w:val="28"/>
          <w:szCs w:val="28"/>
        </w:rPr>
        <w:t>P</w:t>
      </w:r>
      <w:r w:rsidRPr="005561FA">
        <w:rPr>
          <w:sz w:val="28"/>
          <w:szCs w:val="28"/>
        </w:rPr>
        <w:t xml:space="preserve">rojeto de </w:t>
      </w:r>
      <w:r w:rsidR="00886F8E">
        <w:rPr>
          <w:sz w:val="28"/>
          <w:szCs w:val="28"/>
        </w:rPr>
        <w:t>L</w:t>
      </w:r>
      <w:r w:rsidRPr="005561FA">
        <w:rPr>
          <w:sz w:val="28"/>
          <w:szCs w:val="28"/>
        </w:rPr>
        <w:t>ei que “Dispõe sobre as Diretrizes Orçamentárias, para o exercício financeiro de 201</w:t>
      </w:r>
      <w:r w:rsidR="0080699F">
        <w:rPr>
          <w:sz w:val="28"/>
          <w:szCs w:val="28"/>
        </w:rPr>
        <w:t>4</w:t>
      </w:r>
      <w:r w:rsidRPr="005561FA">
        <w:rPr>
          <w:sz w:val="28"/>
          <w:szCs w:val="28"/>
        </w:rPr>
        <w:t>”, em cumprimento</w:t>
      </w:r>
      <w:r w:rsidR="00AB0F6A">
        <w:rPr>
          <w:sz w:val="28"/>
          <w:szCs w:val="28"/>
        </w:rPr>
        <w:t xml:space="preserve"> ao disposto nos artigos 149, §3º, 150, §</w:t>
      </w:r>
      <w:r w:rsidRPr="005561FA">
        <w:rPr>
          <w:sz w:val="28"/>
          <w:szCs w:val="28"/>
        </w:rPr>
        <w:t>2º, e 168 da Lei Orgânica do Distrito Federal.</w:t>
      </w:r>
    </w:p>
    <w:p w:rsidR="008B2E01" w:rsidRDefault="008B2E01" w:rsidP="005561FA">
      <w:pPr>
        <w:pStyle w:val="Corpodetexto"/>
        <w:tabs>
          <w:tab w:val="left" w:pos="1701"/>
        </w:tabs>
        <w:ind w:firstLine="1701"/>
        <w:rPr>
          <w:sz w:val="28"/>
          <w:szCs w:val="28"/>
        </w:rPr>
      </w:pPr>
    </w:p>
    <w:p w:rsidR="0006589C" w:rsidRDefault="008B2E01" w:rsidP="0006589C">
      <w:pPr>
        <w:autoSpaceDE w:val="0"/>
        <w:autoSpaceDN w:val="0"/>
        <w:adjustRightInd w:val="0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2825">
        <w:rPr>
          <w:sz w:val="28"/>
          <w:szCs w:val="28"/>
        </w:rPr>
        <w:t>E</w:t>
      </w:r>
      <w:r w:rsidR="005561FA" w:rsidRPr="005561FA">
        <w:rPr>
          <w:sz w:val="28"/>
          <w:szCs w:val="28"/>
        </w:rPr>
        <w:t>stabelece a Constituição de 1988, em seu art. 165, bem como a Lei Orgânica do Distrito Federal, art. 149,</w:t>
      </w:r>
      <w:r w:rsidR="00322825" w:rsidRPr="00322825">
        <w:rPr>
          <w:sz w:val="28"/>
          <w:szCs w:val="28"/>
        </w:rPr>
        <w:t xml:space="preserve"> </w:t>
      </w:r>
      <w:r w:rsidR="00322825">
        <w:rPr>
          <w:sz w:val="28"/>
          <w:szCs w:val="28"/>
        </w:rPr>
        <w:t xml:space="preserve">que a </w:t>
      </w:r>
      <w:r w:rsidR="00322825" w:rsidRPr="005561FA">
        <w:rPr>
          <w:sz w:val="28"/>
          <w:szCs w:val="28"/>
        </w:rPr>
        <w:t>Lei de Diretrizes Orçamentárias</w:t>
      </w:r>
      <w:r w:rsidR="00322825">
        <w:rPr>
          <w:sz w:val="28"/>
          <w:szCs w:val="28"/>
        </w:rPr>
        <w:t xml:space="preserve"> </w:t>
      </w:r>
      <w:r w:rsidR="005561FA" w:rsidRPr="005561FA">
        <w:rPr>
          <w:sz w:val="28"/>
          <w:szCs w:val="28"/>
        </w:rPr>
        <w:t xml:space="preserve">tem por </w:t>
      </w:r>
      <w:r w:rsidR="005561FA">
        <w:rPr>
          <w:sz w:val="28"/>
          <w:szCs w:val="28"/>
        </w:rPr>
        <w:t xml:space="preserve">objetivo </w:t>
      </w:r>
      <w:r w:rsidR="00886F8E">
        <w:rPr>
          <w:sz w:val="28"/>
          <w:szCs w:val="28"/>
        </w:rPr>
        <w:t xml:space="preserve">definir </w:t>
      </w:r>
      <w:r w:rsidR="005561FA">
        <w:rPr>
          <w:sz w:val="28"/>
          <w:szCs w:val="28"/>
        </w:rPr>
        <w:t xml:space="preserve">normas orientadoras </w:t>
      </w:r>
      <w:r w:rsidR="00886F8E">
        <w:rPr>
          <w:sz w:val="28"/>
          <w:szCs w:val="28"/>
        </w:rPr>
        <w:t xml:space="preserve">para </w:t>
      </w:r>
      <w:r w:rsidR="005561FA">
        <w:rPr>
          <w:sz w:val="28"/>
          <w:szCs w:val="28"/>
        </w:rPr>
        <w:t xml:space="preserve">elaboração dos </w:t>
      </w:r>
      <w:r w:rsidR="00322825">
        <w:rPr>
          <w:sz w:val="28"/>
          <w:szCs w:val="28"/>
        </w:rPr>
        <w:t>o</w:t>
      </w:r>
      <w:r w:rsidR="00886F8E">
        <w:rPr>
          <w:sz w:val="28"/>
          <w:szCs w:val="28"/>
        </w:rPr>
        <w:t>rçamentos e de sua execução, bem como</w:t>
      </w:r>
      <w:r w:rsidR="00AB0F6A">
        <w:rPr>
          <w:sz w:val="28"/>
          <w:szCs w:val="28"/>
        </w:rPr>
        <w:t xml:space="preserve"> </w:t>
      </w:r>
      <w:r w:rsidR="00B76546">
        <w:rPr>
          <w:sz w:val="28"/>
          <w:szCs w:val="28"/>
        </w:rPr>
        <w:t xml:space="preserve">fixar as </w:t>
      </w:r>
      <w:r w:rsidR="00AB0F6A">
        <w:rPr>
          <w:sz w:val="28"/>
          <w:szCs w:val="28"/>
        </w:rPr>
        <w:t xml:space="preserve">metas e </w:t>
      </w:r>
      <w:r w:rsidR="00322825">
        <w:rPr>
          <w:sz w:val="28"/>
          <w:szCs w:val="28"/>
        </w:rPr>
        <w:t>p</w:t>
      </w:r>
      <w:r w:rsidR="00B76546">
        <w:rPr>
          <w:sz w:val="28"/>
          <w:szCs w:val="28"/>
        </w:rPr>
        <w:t>rioridades</w:t>
      </w:r>
      <w:r w:rsidR="00322825">
        <w:rPr>
          <w:sz w:val="28"/>
          <w:szCs w:val="28"/>
        </w:rPr>
        <w:t xml:space="preserve"> da administração,</w:t>
      </w:r>
      <w:r w:rsidR="00B76546">
        <w:rPr>
          <w:sz w:val="28"/>
          <w:szCs w:val="28"/>
        </w:rPr>
        <w:t xml:space="preserve"> as </w:t>
      </w:r>
      <w:r w:rsidR="00322825">
        <w:rPr>
          <w:sz w:val="28"/>
          <w:szCs w:val="28"/>
        </w:rPr>
        <w:t>m</w:t>
      </w:r>
      <w:r w:rsidR="00B76546">
        <w:rPr>
          <w:sz w:val="28"/>
          <w:szCs w:val="28"/>
        </w:rPr>
        <w:t xml:space="preserve">etas </w:t>
      </w:r>
      <w:r w:rsidR="005561FA">
        <w:rPr>
          <w:sz w:val="28"/>
          <w:szCs w:val="28"/>
        </w:rPr>
        <w:t xml:space="preserve">e </w:t>
      </w:r>
      <w:r w:rsidR="00322825">
        <w:rPr>
          <w:sz w:val="28"/>
          <w:szCs w:val="28"/>
        </w:rPr>
        <w:t>p</w:t>
      </w:r>
      <w:r w:rsidR="005561FA">
        <w:rPr>
          <w:sz w:val="28"/>
          <w:szCs w:val="28"/>
        </w:rPr>
        <w:t xml:space="preserve">rojeções </w:t>
      </w:r>
      <w:r w:rsidR="00322825">
        <w:rPr>
          <w:sz w:val="28"/>
          <w:szCs w:val="28"/>
        </w:rPr>
        <w:t>f</w:t>
      </w:r>
      <w:r w:rsidR="005561FA">
        <w:rPr>
          <w:sz w:val="28"/>
          <w:szCs w:val="28"/>
        </w:rPr>
        <w:t xml:space="preserve">iscais </w:t>
      </w:r>
      <w:r w:rsidR="005561FA" w:rsidRPr="005561FA">
        <w:rPr>
          <w:sz w:val="28"/>
          <w:szCs w:val="28"/>
        </w:rPr>
        <w:t xml:space="preserve">para o exercício a que se refere e para os dois </w:t>
      </w:r>
      <w:r w:rsidR="00AB0F6A">
        <w:rPr>
          <w:sz w:val="28"/>
          <w:szCs w:val="28"/>
        </w:rPr>
        <w:t>subsequentes</w:t>
      </w:r>
      <w:r w:rsidR="0006589C">
        <w:rPr>
          <w:sz w:val="28"/>
          <w:szCs w:val="28"/>
        </w:rPr>
        <w:t>, desdobradas em receita e despesa fiscal, resultados primário e nomina</w:t>
      </w:r>
      <w:r w:rsidR="00493679">
        <w:rPr>
          <w:sz w:val="28"/>
          <w:szCs w:val="28"/>
        </w:rPr>
        <w:t xml:space="preserve">l </w:t>
      </w:r>
      <w:r w:rsidR="00322825">
        <w:rPr>
          <w:sz w:val="28"/>
          <w:szCs w:val="28"/>
        </w:rPr>
        <w:t>e estoques da dívida pública</w:t>
      </w:r>
      <w:r w:rsidR="0006589C">
        <w:rPr>
          <w:sz w:val="28"/>
          <w:szCs w:val="28"/>
        </w:rPr>
        <w:t>, consolidada e líquida.</w:t>
      </w:r>
    </w:p>
    <w:p w:rsidR="0006589C" w:rsidRDefault="0006589C" w:rsidP="005561FA">
      <w:pPr>
        <w:autoSpaceDE w:val="0"/>
        <w:autoSpaceDN w:val="0"/>
        <w:adjustRightInd w:val="0"/>
        <w:ind w:firstLine="1814"/>
        <w:jc w:val="both"/>
        <w:rPr>
          <w:sz w:val="28"/>
          <w:szCs w:val="28"/>
        </w:rPr>
      </w:pPr>
    </w:p>
    <w:p w:rsidR="005561FA" w:rsidRPr="005561FA" w:rsidRDefault="00AB0F6A" w:rsidP="008B2E01">
      <w:pPr>
        <w:autoSpaceDE w:val="0"/>
        <w:autoSpaceDN w:val="0"/>
        <w:adjustRightInd w:val="0"/>
        <w:ind w:firstLine="1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Além disso, </w:t>
      </w:r>
      <w:r w:rsidR="0006589C">
        <w:rPr>
          <w:sz w:val="28"/>
          <w:szCs w:val="28"/>
        </w:rPr>
        <w:t xml:space="preserve">trata de importantes </w:t>
      </w:r>
      <w:r>
        <w:rPr>
          <w:sz w:val="28"/>
          <w:szCs w:val="28"/>
        </w:rPr>
        <w:t>orientações</w:t>
      </w:r>
      <w:r w:rsidR="0006589C">
        <w:rPr>
          <w:sz w:val="28"/>
          <w:szCs w:val="28"/>
        </w:rPr>
        <w:t>, que se refletirão nos aspectos orçamentários, financeiros, contábeis e patrimoniais, especificamente relacionados a limites e pagamento de pessoal e encargos sociais</w:t>
      </w:r>
      <w:r w:rsidR="00322825">
        <w:rPr>
          <w:sz w:val="28"/>
          <w:szCs w:val="28"/>
        </w:rPr>
        <w:t>,</w:t>
      </w:r>
      <w:r w:rsidR="0006589C">
        <w:rPr>
          <w:sz w:val="28"/>
          <w:szCs w:val="28"/>
        </w:rPr>
        <w:t xml:space="preserve"> serviço da dívida pública</w:t>
      </w:r>
      <w:r w:rsidR="00322825">
        <w:rPr>
          <w:sz w:val="28"/>
          <w:szCs w:val="28"/>
        </w:rPr>
        <w:t xml:space="preserve">, </w:t>
      </w:r>
      <w:r w:rsidR="0006589C">
        <w:rPr>
          <w:sz w:val="28"/>
          <w:szCs w:val="28"/>
        </w:rPr>
        <w:t>limitação de empenho e movimentação financeira</w:t>
      </w:r>
      <w:r w:rsidR="00493679">
        <w:rPr>
          <w:sz w:val="28"/>
          <w:szCs w:val="28"/>
        </w:rPr>
        <w:t>;</w:t>
      </w:r>
      <w:r w:rsidR="005561FA" w:rsidRPr="005561FA">
        <w:rPr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 w:rsidR="005561FA" w:rsidRPr="005561FA">
        <w:rPr>
          <w:sz w:val="28"/>
          <w:szCs w:val="28"/>
        </w:rPr>
        <w:t xml:space="preserve"> política de aplicação das agências financeiras oficiais de fomento; </w:t>
      </w:r>
      <w:r>
        <w:rPr>
          <w:sz w:val="28"/>
          <w:szCs w:val="28"/>
        </w:rPr>
        <w:t xml:space="preserve">nas </w:t>
      </w:r>
      <w:r w:rsidR="005561FA" w:rsidRPr="005561FA">
        <w:rPr>
          <w:sz w:val="28"/>
          <w:szCs w:val="28"/>
        </w:rPr>
        <w:t>alte</w:t>
      </w:r>
      <w:r>
        <w:rPr>
          <w:sz w:val="28"/>
          <w:szCs w:val="28"/>
        </w:rPr>
        <w:t>rações d</w:t>
      </w:r>
      <w:r w:rsidR="00ED777E">
        <w:rPr>
          <w:sz w:val="28"/>
          <w:szCs w:val="28"/>
        </w:rPr>
        <w:t xml:space="preserve">a legislação tributária; </w:t>
      </w:r>
      <w:r>
        <w:rPr>
          <w:sz w:val="28"/>
          <w:szCs w:val="28"/>
        </w:rPr>
        <w:t>e na</w:t>
      </w:r>
      <w:r w:rsidR="00ED777E">
        <w:rPr>
          <w:sz w:val="28"/>
          <w:szCs w:val="28"/>
        </w:rPr>
        <w:t xml:space="preserve"> descrição d</w:t>
      </w:r>
      <w:r>
        <w:rPr>
          <w:sz w:val="28"/>
          <w:szCs w:val="28"/>
        </w:rPr>
        <w:t>e</w:t>
      </w:r>
      <w:r w:rsidR="00ED777E">
        <w:rPr>
          <w:sz w:val="28"/>
          <w:szCs w:val="28"/>
        </w:rPr>
        <w:t xml:space="preserve"> possíveis riscos fiscais, que possam afetar as contas públicas</w:t>
      </w:r>
      <w:r>
        <w:rPr>
          <w:sz w:val="28"/>
          <w:szCs w:val="28"/>
        </w:rPr>
        <w:t xml:space="preserve"> do Governo do Distrito Federal, </w:t>
      </w:r>
      <w:r w:rsidR="00493679">
        <w:rPr>
          <w:sz w:val="28"/>
          <w:szCs w:val="28"/>
        </w:rPr>
        <w:t>no</w:t>
      </w:r>
      <w:r>
        <w:rPr>
          <w:sz w:val="28"/>
          <w:szCs w:val="28"/>
        </w:rPr>
        <w:t xml:space="preserve"> exercício de 201</w:t>
      </w:r>
      <w:r w:rsidR="0080699F">
        <w:rPr>
          <w:sz w:val="28"/>
          <w:szCs w:val="28"/>
        </w:rPr>
        <w:t>4</w:t>
      </w:r>
      <w:r w:rsidR="00493679">
        <w:rPr>
          <w:sz w:val="28"/>
          <w:szCs w:val="28"/>
        </w:rPr>
        <w:t xml:space="preserve"> e seguintes</w:t>
      </w:r>
      <w:r w:rsidR="00ED777E">
        <w:rPr>
          <w:sz w:val="28"/>
          <w:szCs w:val="28"/>
        </w:rPr>
        <w:t>.</w:t>
      </w:r>
    </w:p>
    <w:p w:rsidR="005561FA" w:rsidRPr="005561FA" w:rsidRDefault="005561FA" w:rsidP="005561FA">
      <w:pPr>
        <w:autoSpaceDE w:val="0"/>
        <w:autoSpaceDN w:val="0"/>
        <w:adjustRightInd w:val="0"/>
        <w:ind w:firstLine="907"/>
        <w:jc w:val="both"/>
        <w:rPr>
          <w:sz w:val="28"/>
          <w:szCs w:val="28"/>
        </w:rPr>
      </w:pPr>
    </w:p>
    <w:p w:rsidR="008B2E01" w:rsidRDefault="005561FA" w:rsidP="00AB0F6A">
      <w:pPr>
        <w:autoSpaceDE w:val="0"/>
        <w:autoSpaceDN w:val="0"/>
        <w:adjustRightInd w:val="0"/>
        <w:ind w:firstLine="1560"/>
        <w:jc w:val="both"/>
        <w:rPr>
          <w:sz w:val="28"/>
          <w:szCs w:val="28"/>
        </w:rPr>
      </w:pPr>
      <w:r w:rsidRPr="005561FA">
        <w:rPr>
          <w:sz w:val="28"/>
          <w:szCs w:val="28"/>
        </w:rPr>
        <w:t xml:space="preserve">            </w:t>
      </w:r>
    </w:p>
    <w:p w:rsidR="00AB0F6A" w:rsidRPr="005561FA" w:rsidRDefault="00AB0F6A" w:rsidP="008B2E01">
      <w:pPr>
        <w:autoSpaceDE w:val="0"/>
        <w:autoSpaceDN w:val="0"/>
        <w:adjustRightInd w:val="0"/>
        <w:ind w:firstLine="907"/>
        <w:jc w:val="both"/>
        <w:rPr>
          <w:sz w:val="28"/>
          <w:szCs w:val="28"/>
        </w:rPr>
      </w:pPr>
    </w:p>
    <w:p w:rsidR="005561FA" w:rsidRPr="005561FA" w:rsidRDefault="005561FA" w:rsidP="005561FA">
      <w:pPr>
        <w:autoSpaceDE w:val="0"/>
        <w:autoSpaceDN w:val="0"/>
        <w:adjustRightInd w:val="0"/>
        <w:ind w:left="907" w:firstLine="907"/>
        <w:jc w:val="both"/>
        <w:rPr>
          <w:sz w:val="28"/>
          <w:szCs w:val="28"/>
        </w:rPr>
      </w:pPr>
    </w:p>
    <w:p w:rsidR="005561FA" w:rsidRPr="005561FA" w:rsidRDefault="005561FA" w:rsidP="005561FA">
      <w:pPr>
        <w:pStyle w:val="Ttulo"/>
        <w:jc w:val="both"/>
        <w:outlineLvl w:val="0"/>
        <w:rPr>
          <w:b w:val="0"/>
          <w:sz w:val="28"/>
          <w:szCs w:val="28"/>
        </w:rPr>
      </w:pPr>
      <w:r w:rsidRPr="005561FA">
        <w:rPr>
          <w:b w:val="0"/>
          <w:sz w:val="28"/>
          <w:szCs w:val="28"/>
        </w:rPr>
        <w:t xml:space="preserve">À sua Excelência o Senhor </w:t>
      </w:r>
    </w:p>
    <w:p w:rsidR="00322825" w:rsidRPr="00AB0F6A" w:rsidRDefault="00AB0F6A" w:rsidP="005561FA">
      <w:pPr>
        <w:pStyle w:val="Ttulo"/>
        <w:jc w:val="both"/>
        <w:outlineLvl w:val="0"/>
        <w:rPr>
          <w:sz w:val="28"/>
          <w:szCs w:val="28"/>
        </w:rPr>
      </w:pPr>
      <w:r w:rsidRPr="00AB0F6A">
        <w:rPr>
          <w:sz w:val="28"/>
          <w:szCs w:val="28"/>
        </w:rPr>
        <w:t>AGNELO QUEIROZ</w:t>
      </w:r>
    </w:p>
    <w:p w:rsidR="005561FA" w:rsidRPr="005561FA" w:rsidRDefault="005561FA" w:rsidP="005561FA">
      <w:pPr>
        <w:pStyle w:val="Ttulo"/>
        <w:jc w:val="both"/>
        <w:outlineLvl w:val="0"/>
        <w:rPr>
          <w:b w:val="0"/>
          <w:sz w:val="28"/>
          <w:szCs w:val="28"/>
        </w:rPr>
      </w:pPr>
      <w:r w:rsidRPr="005561FA">
        <w:rPr>
          <w:b w:val="0"/>
          <w:sz w:val="28"/>
          <w:szCs w:val="28"/>
        </w:rPr>
        <w:t>Governador do Distrito Federal</w:t>
      </w:r>
      <w:r w:rsidR="00322825">
        <w:rPr>
          <w:b w:val="0"/>
          <w:sz w:val="28"/>
          <w:szCs w:val="28"/>
        </w:rPr>
        <w:t xml:space="preserve"> </w:t>
      </w:r>
    </w:p>
    <w:p w:rsidR="005561FA" w:rsidRDefault="005561FA" w:rsidP="005561FA">
      <w:pPr>
        <w:pStyle w:val="Recuodecorpodetexto"/>
        <w:ind w:left="0"/>
        <w:jc w:val="both"/>
        <w:rPr>
          <w:sz w:val="28"/>
          <w:szCs w:val="28"/>
          <w:u w:val="single"/>
        </w:rPr>
      </w:pPr>
      <w:r w:rsidRPr="005561FA">
        <w:rPr>
          <w:sz w:val="28"/>
          <w:szCs w:val="28"/>
          <w:u w:val="single"/>
        </w:rPr>
        <w:t>B R A S Í L I A – DF</w:t>
      </w:r>
    </w:p>
    <w:p w:rsidR="004057EF" w:rsidRPr="005561FA" w:rsidRDefault="004057EF" w:rsidP="005561FA">
      <w:pPr>
        <w:pStyle w:val="Recuodecorpodetexto"/>
        <w:ind w:left="0"/>
        <w:jc w:val="both"/>
        <w:rPr>
          <w:sz w:val="28"/>
          <w:szCs w:val="28"/>
          <w:u w:val="single"/>
        </w:rPr>
      </w:pPr>
    </w:p>
    <w:p w:rsidR="00085BB3" w:rsidRDefault="002F77CD" w:rsidP="00493679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lastRenderedPageBreak/>
        <w:t>Atendendo ao princípio da transparência, detalhado no art. 48 da Lei Complementar nº 101, de 5 de maio de 2000, com as alterações supervenientes, esta Secretaria de Estado de Planejamento</w:t>
      </w:r>
      <w:r w:rsidRPr="00556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Orçamento </w:t>
      </w:r>
      <w:r w:rsidR="00493679">
        <w:rPr>
          <w:sz w:val="28"/>
          <w:szCs w:val="28"/>
        </w:rPr>
        <w:t>promoveu a</w:t>
      </w:r>
      <w:r>
        <w:rPr>
          <w:sz w:val="28"/>
          <w:szCs w:val="28"/>
        </w:rPr>
        <w:t xml:space="preserve"> </w:t>
      </w:r>
      <w:r w:rsidR="00493679">
        <w:rPr>
          <w:sz w:val="28"/>
          <w:szCs w:val="28"/>
        </w:rPr>
        <w:t xml:space="preserve">realização de </w:t>
      </w:r>
      <w:r>
        <w:rPr>
          <w:sz w:val="28"/>
          <w:szCs w:val="28"/>
        </w:rPr>
        <w:t>audiência pública,</w:t>
      </w:r>
      <w:r w:rsidR="00493679">
        <w:rPr>
          <w:sz w:val="28"/>
          <w:szCs w:val="28"/>
        </w:rPr>
        <w:t xml:space="preserve"> com o objetivo de apresentar para a sociedade o processo de elaboração do Orçamento de 2014. Tal evento ocorreu no dia 24 de abril, </w:t>
      </w:r>
      <w:r>
        <w:rPr>
          <w:sz w:val="28"/>
          <w:szCs w:val="28"/>
        </w:rPr>
        <w:t xml:space="preserve">no auditório </w:t>
      </w:r>
      <w:r w:rsidR="0080699F">
        <w:rPr>
          <w:sz w:val="28"/>
          <w:szCs w:val="28"/>
        </w:rPr>
        <w:t>da Fundação Hemocentro de Brasília</w:t>
      </w:r>
      <w:r w:rsidR="00493679">
        <w:rPr>
          <w:sz w:val="28"/>
          <w:szCs w:val="28"/>
        </w:rPr>
        <w:t xml:space="preserve"> – FHB. </w:t>
      </w:r>
      <w:r>
        <w:rPr>
          <w:sz w:val="28"/>
          <w:szCs w:val="28"/>
        </w:rPr>
        <w:t xml:space="preserve"> Na oportunidade, foi delineado o cronograma de todo o processo</w:t>
      </w:r>
      <w:r w:rsidR="004936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3679">
        <w:rPr>
          <w:sz w:val="28"/>
          <w:szCs w:val="28"/>
        </w:rPr>
        <w:t>de forma a permitir que a população do Distrito Federal possa contribuir, na medida do possível, na definição da aplicação dos recursos públicos</w:t>
      </w:r>
      <w:r>
        <w:rPr>
          <w:sz w:val="28"/>
          <w:szCs w:val="28"/>
        </w:rPr>
        <w:t>,</w:t>
      </w:r>
      <w:r w:rsidR="00493679">
        <w:rPr>
          <w:sz w:val="28"/>
          <w:szCs w:val="28"/>
        </w:rPr>
        <w:t xml:space="preserve"> por meio de gestões no âmbito do Poder Executivo como do Poder Legislativo. </w:t>
      </w:r>
    </w:p>
    <w:p w:rsidR="00257BDD" w:rsidRDefault="00257BDD" w:rsidP="005561FA">
      <w:pPr>
        <w:pStyle w:val="Corpodetexto"/>
        <w:ind w:firstLine="1701"/>
        <w:rPr>
          <w:sz w:val="28"/>
          <w:szCs w:val="28"/>
        </w:rPr>
      </w:pPr>
    </w:p>
    <w:p w:rsidR="005561FA" w:rsidRDefault="002F77CD" w:rsidP="005561FA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Os procedimentos técnicos, legais e operacionais relativamente à matéria de finanças públicas estão integrados ao presente instrumento de planejamento por força de ditames constantes da Constituição Federal, da </w:t>
      </w:r>
      <w:r w:rsidRPr="005561FA">
        <w:rPr>
          <w:sz w:val="28"/>
          <w:szCs w:val="28"/>
        </w:rPr>
        <w:t>Lei de Responsabilidade Fiscal</w:t>
      </w:r>
      <w:r>
        <w:rPr>
          <w:sz w:val="28"/>
          <w:szCs w:val="28"/>
        </w:rPr>
        <w:t>, do</w:t>
      </w:r>
      <w:r w:rsidRPr="005561FA">
        <w:rPr>
          <w:sz w:val="28"/>
          <w:szCs w:val="28"/>
        </w:rPr>
        <w:t xml:space="preserve"> Plano Diretor de Ordenamento Territorial do Distrito Federal </w:t>
      </w:r>
      <w:r>
        <w:rPr>
          <w:sz w:val="28"/>
          <w:szCs w:val="28"/>
        </w:rPr>
        <w:t>e das demais normas legais,</w:t>
      </w:r>
      <w:r w:rsidR="00493679">
        <w:rPr>
          <w:sz w:val="28"/>
          <w:szCs w:val="28"/>
        </w:rPr>
        <w:t xml:space="preserve"> além de adequações às Decisões do Tribunal</w:t>
      </w:r>
      <w:r w:rsidR="00E5240E">
        <w:rPr>
          <w:sz w:val="28"/>
          <w:szCs w:val="28"/>
        </w:rPr>
        <w:t xml:space="preserve"> de Contas do Distrito Federal,</w:t>
      </w:r>
      <w:r>
        <w:rPr>
          <w:sz w:val="28"/>
          <w:szCs w:val="28"/>
        </w:rPr>
        <w:t xml:space="preserve"> com o objetivo de buscar </w:t>
      </w:r>
      <w:r w:rsidRPr="005561FA">
        <w:rPr>
          <w:sz w:val="28"/>
          <w:szCs w:val="28"/>
        </w:rPr>
        <w:t>uma maior inte</w:t>
      </w:r>
      <w:r>
        <w:rPr>
          <w:sz w:val="28"/>
          <w:szCs w:val="28"/>
        </w:rPr>
        <w:t>ra</w:t>
      </w:r>
      <w:r w:rsidRPr="005561FA">
        <w:rPr>
          <w:sz w:val="28"/>
          <w:szCs w:val="28"/>
        </w:rPr>
        <w:t>ção entre os instrumentos de planejamento e orçamento, cuja</w:t>
      </w:r>
      <w:r>
        <w:rPr>
          <w:sz w:val="28"/>
          <w:szCs w:val="28"/>
        </w:rPr>
        <w:t>s</w:t>
      </w:r>
      <w:r w:rsidRPr="005561FA">
        <w:rPr>
          <w:sz w:val="28"/>
          <w:szCs w:val="28"/>
        </w:rPr>
        <w:t xml:space="preserve"> diretriz</w:t>
      </w:r>
      <w:r>
        <w:rPr>
          <w:sz w:val="28"/>
          <w:szCs w:val="28"/>
        </w:rPr>
        <w:t>es</w:t>
      </w:r>
      <w:r w:rsidRPr="005561FA">
        <w:rPr>
          <w:sz w:val="28"/>
          <w:szCs w:val="28"/>
        </w:rPr>
        <w:t xml:space="preserve"> encontra</w:t>
      </w:r>
      <w:r>
        <w:rPr>
          <w:sz w:val="28"/>
          <w:szCs w:val="28"/>
        </w:rPr>
        <w:t>m</w:t>
      </w:r>
      <w:r w:rsidRPr="005561FA">
        <w:rPr>
          <w:sz w:val="28"/>
          <w:szCs w:val="28"/>
        </w:rPr>
        <w:t>-se incorporada</w:t>
      </w:r>
      <w:r>
        <w:rPr>
          <w:sz w:val="28"/>
          <w:szCs w:val="28"/>
        </w:rPr>
        <w:t xml:space="preserve">s no presente </w:t>
      </w:r>
      <w:r w:rsidR="00E5240E">
        <w:rPr>
          <w:sz w:val="28"/>
          <w:szCs w:val="28"/>
        </w:rPr>
        <w:t>P</w:t>
      </w:r>
      <w:r>
        <w:rPr>
          <w:sz w:val="28"/>
          <w:szCs w:val="28"/>
        </w:rPr>
        <w:t xml:space="preserve">rojeto de </w:t>
      </w:r>
      <w:r w:rsidR="00E5240E">
        <w:rPr>
          <w:sz w:val="28"/>
          <w:szCs w:val="28"/>
        </w:rPr>
        <w:t>L</w:t>
      </w:r>
      <w:r>
        <w:rPr>
          <w:sz w:val="28"/>
          <w:szCs w:val="28"/>
        </w:rPr>
        <w:t>ei.</w:t>
      </w:r>
    </w:p>
    <w:p w:rsidR="00755421" w:rsidRDefault="00755421" w:rsidP="005561FA">
      <w:pPr>
        <w:pStyle w:val="Corpodetexto"/>
        <w:ind w:firstLine="1701"/>
        <w:rPr>
          <w:sz w:val="28"/>
          <w:szCs w:val="28"/>
        </w:rPr>
      </w:pPr>
    </w:p>
    <w:p w:rsidR="00E45E62" w:rsidRDefault="00755421" w:rsidP="00565E4D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>Para f</w:t>
      </w:r>
      <w:r w:rsidR="009A6214">
        <w:rPr>
          <w:sz w:val="28"/>
          <w:szCs w:val="28"/>
        </w:rPr>
        <w:t>im</w:t>
      </w:r>
      <w:r>
        <w:rPr>
          <w:sz w:val="28"/>
          <w:szCs w:val="28"/>
        </w:rPr>
        <w:t xml:space="preserve"> de apuração das metas fiscais da LDO,</w:t>
      </w:r>
      <w:r w:rsidR="00E45E62">
        <w:rPr>
          <w:sz w:val="28"/>
          <w:szCs w:val="28"/>
        </w:rPr>
        <w:t xml:space="preserve"> somente </w:t>
      </w:r>
      <w:r>
        <w:rPr>
          <w:sz w:val="28"/>
          <w:szCs w:val="28"/>
        </w:rPr>
        <w:t>são considerados os orçamento</w:t>
      </w:r>
      <w:r w:rsidR="00E5240E">
        <w:rPr>
          <w:sz w:val="28"/>
          <w:szCs w:val="28"/>
        </w:rPr>
        <w:t>s fiscal e da seguridade social, na forma do art. 2º da Lei de Responsabilidade Fiscal.</w:t>
      </w:r>
      <w:r w:rsidR="00565E4D">
        <w:rPr>
          <w:sz w:val="28"/>
          <w:szCs w:val="28"/>
        </w:rPr>
        <w:t xml:space="preserve"> </w:t>
      </w:r>
      <w:r w:rsidR="00E45E62">
        <w:rPr>
          <w:sz w:val="28"/>
          <w:szCs w:val="28"/>
        </w:rPr>
        <w:t xml:space="preserve">Portanto, as programações relativas a investimentos das Empresas Estatais não dependentes de recursos do Tesouro para a manutenção e funcionamento das Unidades, não fazem parte do rol de valores e metas constantes desta Lei de Diretrizes Orçamentárias. </w:t>
      </w:r>
    </w:p>
    <w:p w:rsidR="00E45E62" w:rsidRDefault="00E45E62" w:rsidP="00565E4D">
      <w:pPr>
        <w:pStyle w:val="Corpodetexto"/>
        <w:ind w:firstLine="1701"/>
        <w:rPr>
          <w:sz w:val="28"/>
          <w:szCs w:val="28"/>
        </w:rPr>
      </w:pPr>
    </w:p>
    <w:p w:rsidR="00970180" w:rsidRDefault="00E45E62" w:rsidP="00565E4D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Na apuração das despesas a serem assumidas pelo Tesouro do Distrito Federal foram levadas em conta as </w:t>
      </w:r>
      <w:r w:rsidR="00565E4D">
        <w:rPr>
          <w:sz w:val="28"/>
          <w:szCs w:val="28"/>
        </w:rPr>
        <w:t xml:space="preserve">projeções para </w:t>
      </w:r>
      <w:r w:rsidR="00D4215D">
        <w:rPr>
          <w:sz w:val="28"/>
          <w:szCs w:val="28"/>
        </w:rPr>
        <w:t xml:space="preserve">os gastos </w:t>
      </w:r>
      <w:r>
        <w:rPr>
          <w:sz w:val="28"/>
          <w:szCs w:val="28"/>
        </w:rPr>
        <w:t xml:space="preserve">das áreas de segurança pública, saúde e educação, custeadas com recursos do </w:t>
      </w:r>
      <w:r w:rsidRPr="000763B0">
        <w:rPr>
          <w:b/>
          <w:sz w:val="28"/>
          <w:szCs w:val="28"/>
          <w:u w:val="single"/>
        </w:rPr>
        <w:t>Fundo Constitucional do Distrito Federal</w:t>
      </w:r>
      <w:r w:rsidR="00D4215D" w:rsidRPr="000763B0">
        <w:rPr>
          <w:b/>
          <w:sz w:val="28"/>
          <w:szCs w:val="28"/>
          <w:u w:val="single"/>
        </w:rPr>
        <w:t xml:space="preserve"> - FCDF</w:t>
      </w:r>
      <w:r>
        <w:rPr>
          <w:sz w:val="28"/>
          <w:szCs w:val="28"/>
        </w:rPr>
        <w:t xml:space="preserve">, </w:t>
      </w:r>
      <w:r w:rsidRPr="000763B0">
        <w:rPr>
          <w:b/>
          <w:sz w:val="28"/>
          <w:szCs w:val="28"/>
          <w:u w:val="single"/>
        </w:rPr>
        <w:t>no âmbito d</w:t>
      </w:r>
      <w:r w:rsidR="00D4215D" w:rsidRPr="000763B0">
        <w:rPr>
          <w:b/>
          <w:sz w:val="28"/>
          <w:szCs w:val="28"/>
          <w:u w:val="single"/>
        </w:rPr>
        <w:t>a União</w:t>
      </w:r>
      <w:r w:rsidR="00565E4D">
        <w:rPr>
          <w:sz w:val="28"/>
          <w:szCs w:val="28"/>
        </w:rPr>
        <w:t xml:space="preserve">. </w:t>
      </w:r>
      <w:r w:rsidR="00D4215D">
        <w:rPr>
          <w:sz w:val="28"/>
          <w:szCs w:val="28"/>
        </w:rPr>
        <w:t xml:space="preserve">Para fins de definição dos recursos do FCDF, foram feitas projeções </w:t>
      </w:r>
      <w:r w:rsidR="00BD08A1">
        <w:rPr>
          <w:sz w:val="28"/>
          <w:szCs w:val="28"/>
        </w:rPr>
        <w:t xml:space="preserve">para o exercício de 2014, </w:t>
      </w:r>
      <w:r w:rsidR="00D4215D">
        <w:rPr>
          <w:sz w:val="28"/>
          <w:szCs w:val="28"/>
        </w:rPr>
        <w:t>com base na execução da Receita Corrente Líquida</w:t>
      </w:r>
      <w:r w:rsidR="000763B0">
        <w:rPr>
          <w:sz w:val="28"/>
          <w:szCs w:val="28"/>
        </w:rPr>
        <w:t xml:space="preserve"> - RCL</w:t>
      </w:r>
      <w:r w:rsidR="00D4215D">
        <w:rPr>
          <w:sz w:val="28"/>
          <w:szCs w:val="28"/>
        </w:rPr>
        <w:t xml:space="preserve"> da União efetivamente apurada no período de julho de 201</w:t>
      </w:r>
      <w:r w:rsidR="006C08A5">
        <w:rPr>
          <w:sz w:val="28"/>
          <w:szCs w:val="28"/>
        </w:rPr>
        <w:t>2</w:t>
      </w:r>
      <w:r w:rsidR="00D4215D">
        <w:rPr>
          <w:sz w:val="28"/>
          <w:szCs w:val="28"/>
        </w:rPr>
        <w:t xml:space="preserve"> a março de 201</w:t>
      </w:r>
      <w:r w:rsidR="006C08A5">
        <w:rPr>
          <w:sz w:val="28"/>
          <w:szCs w:val="28"/>
        </w:rPr>
        <w:t>3</w:t>
      </w:r>
      <w:r w:rsidR="00D4215D">
        <w:rPr>
          <w:sz w:val="28"/>
          <w:szCs w:val="28"/>
        </w:rPr>
        <w:t>,</w:t>
      </w:r>
      <w:r w:rsidR="00BD08A1">
        <w:rPr>
          <w:sz w:val="28"/>
          <w:szCs w:val="28"/>
        </w:rPr>
        <w:t xml:space="preserve"> e estimativa para abril a junho de 2013,</w:t>
      </w:r>
      <w:r w:rsidR="00D4215D">
        <w:rPr>
          <w:sz w:val="28"/>
          <w:szCs w:val="28"/>
        </w:rPr>
        <w:t xml:space="preserve"> </w:t>
      </w:r>
      <w:r w:rsidR="00BD08A1">
        <w:rPr>
          <w:sz w:val="28"/>
          <w:szCs w:val="28"/>
        </w:rPr>
        <w:t xml:space="preserve">cujo demonstrativo da União encontra-se disponibilizado </w:t>
      </w:r>
      <w:r w:rsidR="00D4215D">
        <w:rPr>
          <w:sz w:val="28"/>
          <w:szCs w:val="28"/>
        </w:rPr>
        <w:t xml:space="preserve">no sítio da Secretaria do Tesouro Nacional do Ministério da Fazenda, </w:t>
      </w:r>
      <w:hyperlink r:id="rId10" w:history="1">
        <w:r w:rsidR="00D4215D" w:rsidRPr="00580B10">
          <w:rPr>
            <w:rStyle w:val="Hyperlink"/>
            <w:sz w:val="28"/>
            <w:szCs w:val="28"/>
          </w:rPr>
          <w:t>www.tesouro.fazenda.gov.br</w:t>
        </w:r>
      </w:hyperlink>
      <w:r w:rsidR="00BD08A1">
        <w:rPr>
          <w:sz w:val="28"/>
          <w:szCs w:val="28"/>
        </w:rPr>
        <w:t>.</w:t>
      </w:r>
    </w:p>
    <w:p w:rsidR="00BD08A1" w:rsidRDefault="00BD08A1" w:rsidP="00565E4D">
      <w:pPr>
        <w:pStyle w:val="Corpodetexto"/>
        <w:ind w:firstLine="1701"/>
        <w:rPr>
          <w:sz w:val="28"/>
          <w:szCs w:val="28"/>
        </w:rPr>
      </w:pPr>
    </w:p>
    <w:p w:rsidR="00D508BD" w:rsidRDefault="0027157C" w:rsidP="00565E4D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180">
        <w:rPr>
          <w:sz w:val="28"/>
          <w:szCs w:val="28"/>
        </w:rPr>
        <w:t>P</w:t>
      </w:r>
      <w:r w:rsidR="00E64B98">
        <w:rPr>
          <w:sz w:val="28"/>
          <w:szCs w:val="28"/>
        </w:rPr>
        <w:t>rojeç</w:t>
      </w:r>
      <w:r w:rsidR="00970180">
        <w:rPr>
          <w:sz w:val="28"/>
          <w:szCs w:val="28"/>
        </w:rPr>
        <w:t xml:space="preserve">ões levadas a efeito nesta Secretaria </w:t>
      </w:r>
      <w:r w:rsidR="00FF6083">
        <w:rPr>
          <w:sz w:val="28"/>
          <w:szCs w:val="28"/>
        </w:rPr>
        <w:t>aponta</w:t>
      </w:r>
      <w:r w:rsidR="00970180">
        <w:rPr>
          <w:sz w:val="28"/>
          <w:szCs w:val="28"/>
        </w:rPr>
        <w:t>m</w:t>
      </w:r>
      <w:r w:rsidR="00FF6083">
        <w:rPr>
          <w:sz w:val="28"/>
          <w:szCs w:val="28"/>
        </w:rPr>
        <w:t xml:space="preserve"> para</w:t>
      </w:r>
      <w:r w:rsidR="00E64B98">
        <w:rPr>
          <w:sz w:val="28"/>
          <w:szCs w:val="28"/>
        </w:rPr>
        <w:t xml:space="preserve"> uma expectativa de elevação do comportamento da RCL da União, a ser utilizada </w:t>
      </w:r>
      <w:r w:rsidR="00BD08A1">
        <w:rPr>
          <w:sz w:val="28"/>
          <w:szCs w:val="28"/>
        </w:rPr>
        <w:t xml:space="preserve">para fixação do montante de recursos do Fundo Constitucional do Distrito Federal - </w:t>
      </w:r>
      <w:r w:rsidR="00BD08A1" w:rsidRPr="00BD08A1">
        <w:rPr>
          <w:b/>
          <w:sz w:val="28"/>
          <w:szCs w:val="28"/>
        </w:rPr>
        <w:t>FCDF</w:t>
      </w:r>
      <w:r w:rsidR="00BD08A1">
        <w:rPr>
          <w:sz w:val="28"/>
          <w:szCs w:val="28"/>
        </w:rPr>
        <w:t xml:space="preserve">, </w:t>
      </w:r>
      <w:r w:rsidR="00E64B98">
        <w:rPr>
          <w:sz w:val="28"/>
          <w:szCs w:val="28"/>
        </w:rPr>
        <w:t>no exercício de 201</w:t>
      </w:r>
      <w:r w:rsidR="006C08A5">
        <w:rPr>
          <w:sz w:val="28"/>
          <w:szCs w:val="28"/>
        </w:rPr>
        <w:t>4</w:t>
      </w:r>
      <w:r w:rsidR="00E64B98">
        <w:rPr>
          <w:sz w:val="28"/>
          <w:szCs w:val="28"/>
        </w:rPr>
        <w:t xml:space="preserve">, à razão de </w:t>
      </w:r>
      <w:r w:rsidR="006C08A5">
        <w:rPr>
          <w:sz w:val="28"/>
          <w:szCs w:val="28"/>
        </w:rPr>
        <w:t>13,58</w:t>
      </w:r>
      <w:r w:rsidR="00E64B98">
        <w:rPr>
          <w:sz w:val="28"/>
          <w:szCs w:val="28"/>
        </w:rPr>
        <w:t>% sobre os valores aprovados na Lei Orçamentária da União para o exercício de 201</w:t>
      </w:r>
      <w:r w:rsidR="006C08A5">
        <w:rPr>
          <w:sz w:val="28"/>
          <w:szCs w:val="28"/>
        </w:rPr>
        <w:t>3</w:t>
      </w:r>
      <w:r w:rsidR="00E64B98">
        <w:rPr>
          <w:sz w:val="28"/>
          <w:szCs w:val="28"/>
        </w:rPr>
        <w:t xml:space="preserve">. Isso significa que o </w:t>
      </w:r>
      <w:r w:rsidR="00E64B98" w:rsidRPr="00760681">
        <w:rPr>
          <w:b/>
          <w:sz w:val="28"/>
          <w:szCs w:val="28"/>
        </w:rPr>
        <w:t>FCDF</w:t>
      </w:r>
      <w:r w:rsidR="00E64B98" w:rsidRPr="00760681">
        <w:rPr>
          <w:sz w:val="28"/>
          <w:szCs w:val="28"/>
        </w:rPr>
        <w:t xml:space="preserve"> </w:t>
      </w:r>
      <w:r w:rsidR="00970180" w:rsidRPr="00760681">
        <w:rPr>
          <w:sz w:val="28"/>
          <w:szCs w:val="28"/>
        </w:rPr>
        <w:t>deve</w:t>
      </w:r>
      <w:r w:rsidR="00E64B98" w:rsidRPr="00760681">
        <w:rPr>
          <w:sz w:val="28"/>
          <w:szCs w:val="28"/>
        </w:rPr>
        <w:t>rá</w:t>
      </w:r>
      <w:r w:rsidR="00970180" w:rsidRPr="00760681">
        <w:rPr>
          <w:sz w:val="28"/>
          <w:szCs w:val="28"/>
        </w:rPr>
        <w:t xml:space="preserve"> ter</w:t>
      </w:r>
      <w:r w:rsidR="00E64B98" w:rsidRPr="00760681">
        <w:rPr>
          <w:sz w:val="28"/>
          <w:szCs w:val="28"/>
        </w:rPr>
        <w:t xml:space="preserve"> </w:t>
      </w:r>
      <w:r w:rsidR="00BD08A1">
        <w:rPr>
          <w:sz w:val="28"/>
          <w:szCs w:val="28"/>
        </w:rPr>
        <w:t xml:space="preserve">o Orçamento </w:t>
      </w:r>
      <w:r w:rsidR="00452B34">
        <w:rPr>
          <w:sz w:val="28"/>
          <w:szCs w:val="28"/>
        </w:rPr>
        <w:t xml:space="preserve">no valor </w:t>
      </w:r>
      <w:r w:rsidR="00970180" w:rsidRPr="00760681">
        <w:rPr>
          <w:sz w:val="28"/>
          <w:szCs w:val="28"/>
        </w:rPr>
        <w:t xml:space="preserve">de </w:t>
      </w:r>
      <w:r w:rsidR="00760681">
        <w:rPr>
          <w:sz w:val="28"/>
          <w:szCs w:val="28"/>
        </w:rPr>
        <w:t>R</w:t>
      </w:r>
      <w:r w:rsidR="00760681" w:rsidRPr="00B439DF">
        <w:rPr>
          <w:sz w:val="28"/>
          <w:szCs w:val="28"/>
        </w:rPr>
        <w:t xml:space="preserve">$ </w:t>
      </w:r>
      <w:r w:rsidR="00B439DF" w:rsidRPr="00B439DF">
        <w:rPr>
          <w:sz w:val="28"/>
          <w:szCs w:val="28"/>
        </w:rPr>
        <w:t>12,14</w:t>
      </w:r>
      <w:r w:rsidR="00B439DF">
        <w:rPr>
          <w:sz w:val="28"/>
          <w:szCs w:val="28"/>
        </w:rPr>
        <w:t>7</w:t>
      </w:r>
      <w:r w:rsidR="00970180" w:rsidRPr="00B439DF">
        <w:rPr>
          <w:sz w:val="28"/>
          <w:szCs w:val="28"/>
        </w:rPr>
        <w:t xml:space="preserve"> </w:t>
      </w:r>
      <w:r w:rsidR="00CD2B54" w:rsidRPr="00B439DF">
        <w:rPr>
          <w:sz w:val="28"/>
          <w:szCs w:val="28"/>
        </w:rPr>
        <w:t>b</w:t>
      </w:r>
      <w:r w:rsidR="00970180" w:rsidRPr="00B439DF">
        <w:rPr>
          <w:sz w:val="28"/>
          <w:szCs w:val="28"/>
        </w:rPr>
        <w:t>ilhões</w:t>
      </w:r>
      <w:r w:rsidR="00DF39E7">
        <w:rPr>
          <w:sz w:val="28"/>
          <w:szCs w:val="28"/>
        </w:rPr>
        <w:t>, valo</w:t>
      </w:r>
      <w:r w:rsidR="007F3C21">
        <w:rPr>
          <w:sz w:val="28"/>
          <w:szCs w:val="28"/>
        </w:rPr>
        <w:t xml:space="preserve">r este que será confirmado com o fechamento da apuração da RCL – União, no período de abril a junho de 2013. </w:t>
      </w:r>
    </w:p>
    <w:p w:rsidR="00D508BD" w:rsidRPr="00760681" w:rsidRDefault="00D508BD" w:rsidP="00565E4D">
      <w:pPr>
        <w:pStyle w:val="Corpodetexto"/>
        <w:ind w:firstLine="1701"/>
        <w:rPr>
          <w:sz w:val="28"/>
          <w:szCs w:val="28"/>
        </w:rPr>
      </w:pPr>
    </w:p>
    <w:p w:rsidR="00E64B98" w:rsidRDefault="000763B0" w:rsidP="00565E4D">
      <w:pPr>
        <w:pStyle w:val="Corpodetexto"/>
        <w:ind w:firstLine="1701"/>
        <w:rPr>
          <w:sz w:val="28"/>
          <w:szCs w:val="28"/>
        </w:rPr>
      </w:pPr>
      <w:r w:rsidRPr="00760681">
        <w:rPr>
          <w:sz w:val="28"/>
          <w:szCs w:val="28"/>
        </w:rPr>
        <w:lastRenderedPageBreak/>
        <w:t xml:space="preserve"> </w:t>
      </w:r>
      <w:r w:rsidR="00D508BD" w:rsidRPr="00760681">
        <w:rPr>
          <w:sz w:val="28"/>
          <w:szCs w:val="28"/>
        </w:rPr>
        <w:t xml:space="preserve">Assim, </w:t>
      </w:r>
      <w:r w:rsidR="00F1732E" w:rsidRPr="00760681">
        <w:rPr>
          <w:sz w:val="28"/>
          <w:szCs w:val="28"/>
        </w:rPr>
        <w:t xml:space="preserve">a despesa de pessoal </w:t>
      </w:r>
      <w:r w:rsidR="00D508BD" w:rsidRPr="00760681">
        <w:rPr>
          <w:sz w:val="28"/>
          <w:szCs w:val="28"/>
        </w:rPr>
        <w:t xml:space="preserve">a ser custeada pelo FCDF deverá </w:t>
      </w:r>
      <w:r w:rsidR="007F3C21">
        <w:rPr>
          <w:sz w:val="28"/>
          <w:szCs w:val="28"/>
        </w:rPr>
        <w:t xml:space="preserve">alcançar o valor </w:t>
      </w:r>
      <w:r w:rsidR="00D508BD" w:rsidRPr="00760681">
        <w:rPr>
          <w:sz w:val="28"/>
          <w:szCs w:val="28"/>
        </w:rPr>
        <w:t xml:space="preserve">de </w:t>
      </w:r>
      <w:r w:rsidR="00F1732E" w:rsidRPr="00760681">
        <w:rPr>
          <w:sz w:val="28"/>
          <w:szCs w:val="28"/>
        </w:rPr>
        <w:t>R</w:t>
      </w:r>
      <w:r w:rsidR="00F1732E" w:rsidRPr="00B439DF">
        <w:rPr>
          <w:sz w:val="28"/>
          <w:szCs w:val="28"/>
        </w:rPr>
        <w:t xml:space="preserve">$ </w:t>
      </w:r>
      <w:r w:rsidR="00B439DF" w:rsidRPr="00B439DF">
        <w:rPr>
          <w:sz w:val="28"/>
          <w:szCs w:val="28"/>
        </w:rPr>
        <w:t>10,784</w:t>
      </w:r>
      <w:r w:rsidR="00970180" w:rsidRPr="00B439DF">
        <w:rPr>
          <w:sz w:val="28"/>
          <w:szCs w:val="28"/>
        </w:rPr>
        <w:t xml:space="preserve"> </w:t>
      </w:r>
      <w:r w:rsidR="00CD2B54" w:rsidRPr="00B439DF">
        <w:rPr>
          <w:sz w:val="28"/>
          <w:szCs w:val="28"/>
        </w:rPr>
        <w:t>bi</w:t>
      </w:r>
      <w:r w:rsidR="00970180" w:rsidRPr="00B439DF">
        <w:rPr>
          <w:sz w:val="28"/>
          <w:szCs w:val="28"/>
        </w:rPr>
        <w:t>lhões</w:t>
      </w:r>
      <w:r w:rsidR="00F1732E" w:rsidRPr="00760681">
        <w:rPr>
          <w:sz w:val="28"/>
          <w:szCs w:val="28"/>
        </w:rPr>
        <w:t xml:space="preserve"> e </w:t>
      </w:r>
      <w:r w:rsidR="00FF6083" w:rsidRPr="00760681">
        <w:rPr>
          <w:sz w:val="28"/>
          <w:szCs w:val="28"/>
        </w:rPr>
        <w:t>as</w:t>
      </w:r>
      <w:r w:rsidR="00F1732E" w:rsidRPr="00760681">
        <w:rPr>
          <w:sz w:val="28"/>
          <w:szCs w:val="28"/>
        </w:rPr>
        <w:t xml:space="preserve"> </w:t>
      </w:r>
      <w:r w:rsidR="00FF6083" w:rsidRPr="00760681">
        <w:rPr>
          <w:sz w:val="28"/>
          <w:szCs w:val="28"/>
        </w:rPr>
        <w:t>despesas</w:t>
      </w:r>
      <w:r w:rsidR="00FF6083">
        <w:rPr>
          <w:sz w:val="28"/>
          <w:szCs w:val="28"/>
        </w:rPr>
        <w:t xml:space="preserve"> correntes e de capital</w:t>
      </w:r>
      <w:r w:rsidR="007F3C21">
        <w:rPr>
          <w:sz w:val="28"/>
          <w:szCs w:val="28"/>
        </w:rPr>
        <w:t xml:space="preserve">, </w:t>
      </w:r>
      <w:r w:rsidR="00D508BD">
        <w:rPr>
          <w:sz w:val="28"/>
          <w:szCs w:val="28"/>
        </w:rPr>
        <w:t xml:space="preserve">o montante </w:t>
      </w:r>
      <w:r w:rsidR="00D508BD" w:rsidRPr="00760681">
        <w:rPr>
          <w:sz w:val="28"/>
          <w:szCs w:val="28"/>
        </w:rPr>
        <w:t xml:space="preserve">de </w:t>
      </w:r>
      <w:r w:rsidR="00FF6083" w:rsidRPr="00760681">
        <w:rPr>
          <w:sz w:val="28"/>
          <w:szCs w:val="28"/>
        </w:rPr>
        <w:t>R</w:t>
      </w:r>
      <w:r w:rsidR="00FF6083" w:rsidRPr="00B439DF">
        <w:rPr>
          <w:sz w:val="28"/>
          <w:szCs w:val="28"/>
        </w:rPr>
        <w:t xml:space="preserve">$ </w:t>
      </w:r>
      <w:r w:rsidR="00760681" w:rsidRPr="00B439DF">
        <w:rPr>
          <w:sz w:val="28"/>
          <w:szCs w:val="28"/>
        </w:rPr>
        <w:t>1,</w:t>
      </w:r>
      <w:r w:rsidR="00B439DF" w:rsidRPr="00B439DF">
        <w:rPr>
          <w:sz w:val="28"/>
          <w:szCs w:val="28"/>
        </w:rPr>
        <w:t>362</w:t>
      </w:r>
      <w:r w:rsidR="00760681" w:rsidRPr="00B439DF">
        <w:rPr>
          <w:sz w:val="28"/>
          <w:szCs w:val="28"/>
        </w:rPr>
        <w:t xml:space="preserve"> bilhão</w:t>
      </w:r>
      <w:r w:rsidR="00FF6083" w:rsidRPr="00B439DF">
        <w:rPr>
          <w:sz w:val="28"/>
          <w:szCs w:val="28"/>
        </w:rPr>
        <w:t>.</w:t>
      </w:r>
      <w:r w:rsidR="00F1732E" w:rsidRPr="00760681">
        <w:rPr>
          <w:sz w:val="28"/>
          <w:szCs w:val="28"/>
        </w:rPr>
        <w:t xml:space="preserve">  </w:t>
      </w:r>
      <w:r w:rsidR="002F77CD" w:rsidRPr="00760681">
        <w:rPr>
          <w:sz w:val="28"/>
          <w:szCs w:val="28"/>
        </w:rPr>
        <w:t>Estas últi</w:t>
      </w:r>
      <w:r w:rsidR="006C08A5">
        <w:rPr>
          <w:sz w:val="28"/>
          <w:szCs w:val="28"/>
        </w:rPr>
        <w:t xml:space="preserve">mas são importantes em face de </w:t>
      </w:r>
      <w:r w:rsidR="002F77CD" w:rsidRPr="00760681">
        <w:rPr>
          <w:sz w:val="28"/>
          <w:szCs w:val="28"/>
        </w:rPr>
        <w:t>serem consideradas na base de cálculo da</w:t>
      </w:r>
      <w:r w:rsidR="002F77CD">
        <w:rPr>
          <w:sz w:val="28"/>
          <w:szCs w:val="28"/>
        </w:rPr>
        <w:t xml:space="preserve"> Receita Corrente Líquida do Distrito Federal, na forma do art. 2º, §2º, da LRF.</w:t>
      </w:r>
    </w:p>
    <w:p w:rsidR="00E874D2" w:rsidRDefault="00E874D2" w:rsidP="00565E4D">
      <w:pPr>
        <w:pStyle w:val="Corpodetexto"/>
        <w:ind w:firstLine="1701"/>
        <w:rPr>
          <w:sz w:val="28"/>
          <w:szCs w:val="28"/>
        </w:rPr>
      </w:pPr>
    </w:p>
    <w:p w:rsidR="004D4136" w:rsidRPr="00E130A7" w:rsidRDefault="00E874D2" w:rsidP="00E874D2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>Aliado a isso, as receitas do Distrito Federal foram compostas pelas projeções de receitas</w:t>
      </w:r>
      <w:r w:rsidR="004F6FF7">
        <w:rPr>
          <w:sz w:val="28"/>
          <w:szCs w:val="28"/>
        </w:rPr>
        <w:t xml:space="preserve"> de origem</w:t>
      </w:r>
      <w:r>
        <w:rPr>
          <w:sz w:val="28"/>
          <w:szCs w:val="28"/>
        </w:rPr>
        <w:t xml:space="preserve"> tributária</w:t>
      </w:r>
      <w:r w:rsidR="004D4136">
        <w:rPr>
          <w:sz w:val="28"/>
          <w:szCs w:val="28"/>
        </w:rPr>
        <w:t xml:space="preserve"> e suas derivadas</w:t>
      </w:r>
      <w:r>
        <w:rPr>
          <w:sz w:val="28"/>
          <w:szCs w:val="28"/>
        </w:rPr>
        <w:t xml:space="preserve">, elaboradas pela Secretaria de Estado de Fazenda, </w:t>
      </w:r>
      <w:r w:rsidR="00634684">
        <w:rPr>
          <w:sz w:val="28"/>
          <w:szCs w:val="28"/>
        </w:rPr>
        <w:t xml:space="preserve">com subsídios fornecidos pela ADASA, AGEFIS e SEPLAN, </w:t>
      </w:r>
      <w:r>
        <w:rPr>
          <w:sz w:val="28"/>
          <w:szCs w:val="28"/>
        </w:rPr>
        <w:t xml:space="preserve">as quais </w:t>
      </w:r>
      <w:r w:rsidR="004D4136">
        <w:rPr>
          <w:sz w:val="28"/>
          <w:szCs w:val="28"/>
        </w:rPr>
        <w:t>representam,</w:t>
      </w:r>
      <w:r>
        <w:rPr>
          <w:sz w:val="28"/>
          <w:szCs w:val="28"/>
        </w:rPr>
        <w:t xml:space="preserve"> em </w:t>
      </w:r>
      <w:r w:rsidRPr="00E130A7">
        <w:rPr>
          <w:sz w:val="28"/>
          <w:szCs w:val="28"/>
        </w:rPr>
        <w:t>média</w:t>
      </w:r>
      <w:r w:rsidR="004D4136" w:rsidRPr="00B439DF">
        <w:rPr>
          <w:sz w:val="28"/>
          <w:szCs w:val="28"/>
        </w:rPr>
        <w:t>,</w:t>
      </w:r>
      <w:r w:rsidRPr="00B439DF">
        <w:rPr>
          <w:sz w:val="28"/>
          <w:szCs w:val="28"/>
        </w:rPr>
        <w:t xml:space="preserve"> 6</w:t>
      </w:r>
      <w:r w:rsidR="00B439DF" w:rsidRPr="00B439DF">
        <w:rPr>
          <w:sz w:val="28"/>
          <w:szCs w:val="28"/>
        </w:rPr>
        <w:t>1</w:t>
      </w:r>
      <w:r w:rsidRPr="00B439DF">
        <w:rPr>
          <w:sz w:val="28"/>
          <w:szCs w:val="28"/>
        </w:rPr>
        <w:t>% do</w:t>
      </w:r>
      <w:r w:rsidRPr="00E130A7">
        <w:rPr>
          <w:sz w:val="28"/>
          <w:szCs w:val="28"/>
        </w:rPr>
        <w:t xml:space="preserve"> </w:t>
      </w:r>
      <w:r w:rsidR="00254E84" w:rsidRPr="00E130A7">
        <w:rPr>
          <w:sz w:val="28"/>
          <w:szCs w:val="28"/>
        </w:rPr>
        <w:t>total dos</w:t>
      </w:r>
      <w:r w:rsidR="004F6FF7" w:rsidRPr="00E130A7">
        <w:rPr>
          <w:sz w:val="28"/>
          <w:szCs w:val="28"/>
        </w:rPr>
        <w:t xml:space="preserve"> recursos dos</w:t>
      </w:r>
      <w:r w:rsidR="00254E84" w:rsidRPr="00E130A7">
        <w:rPr>
          <w:sz w:val="28"/>
          <w:szCs w:val="28"/>
        </w:rPr>
        <w:t xml:space="preserve"> orçamento</w:t>
      </w:r>
      <w:r w:rsidR="00634684" w:rsidRPr="00E130A7">
        <w:rPr>
          <w:sz w:val="28"/>
          <w:szCs w:val="28"/>
        </w:rPr>
        <w:t>s fiscal e da seguridade social</w:t>
      </w:r>
      <w:r w:rsidR="004F6FF7" w:rsidRPr="00E130A7">
        <w:rPr>
          <w:sz w:val="28"/>
          <w:szCs w:val="28"/>
        </w:rPr>
        <w:t xml:space="preserve">, totalizando estas receitas no montante de </w:t>
      </w:r>
      <w:r w:rsidR="00F74496" w:rsidRPr="00B439DF">
        <w:rPr>
          <w:sz w:val="28"/>
          <w:szCs w:val="28"/>
        </w:rPr>
        <w:t xml:space="preserve">R$ </w:t>
      </w:r>
      <w:r w:rsidR="00601936">
        <w:rPr>
          <w:sz w:val="28"/>
          <w:szCs w:val="28"/>
        </w:rPr>
        <w:t>19</w:t>
      </w:r>
      <w:r w:rsidR="007F3C21">
        <w:rPr>
          <w:sz w:val="28"/>
          <w:szCs w:val="28"/>
        </w:rPr>
        <w:t>,44</w:t>
      </w:r>
      <w:r w:rsidR="00B95AE1">
        <w:rPr>
          <w:sz w:val="28"/>
          <w:szCs w:val="28"/>
        </w:rPr>
        <w:t>1</w:t>
      </w:r>
      <w:r w:rsidR="00B439DF">
        <w:rPr>
          <w:sz w:val="28"/>
          <w:szCs w:val="28"/>
        </w:rPr>
        <w:t xml:space="preserve"> </w:t>
      </w:r>
      <w:r w:rsidR="004F6FF7" w:rsidRPr="00E130A7">
        <w:rPr>
          <w:sz w:val="28"/>
          <w:szCs w:val="28"/>
        </w:rPr>
        <w:t>b</w:t>
      </w:r>
      <w:r w:rsidR="00970180" w:rsidRPr="00E130A7">
        <w:rPr>
          <w:sz w:val="28"/>
          <w:szCs w:val="28"/>
        </w:rPr>
        <w:t>ilhões,</w:t>
      </w:r>
      <w:r w:rsidR="00634684" w:rsidRPr="00E130A7">
        <w:rPr>
          <w:sz w:val="28"/>
          <w:szCs w:val="28"/>
        </w:rPr>
        <w:t xml:space="preserve"> </w:t>
      </w:r>
      <w:r w:rsidR="004F6FF7" w:rsidRPr="00E130A7">
        <w:rPr>
          <w:sz w:val="28"/>
          <w:szCs w:val="28"/>
        </w:rPr>
        <w:t xml:space="preserve">já </w:t>
      </w:r>
      <w:r w:rsidR="00634684" w:rsidRPr="00E130A7">
        <w:rPr>
          <w:sz w:val="28"/>
          <w:szCs w:val="28"/>
        </w:rPr>
        <w:t>líquidos de renú</w:t>
      </w:r>
      <w:r w:rsidR="004D4136" w:rsidRPr="00E130A7">
        <w:rPr>
          <w:sz w:val="28"/>
          <w:szCs w:val="28"/>
        </w:rPr>
        <w:t xml:space="preserve">ncia de receita, </w:t>
      </w:r>
      <w:r w:rsidR="007F3C21">
        <w:rPr>
          <w:sz w:val="28"/>
          <w:szCs w:val="28"/>
        </w:rPr>
        <w:t xml:space="preserve">as quais </w:t>
      </w:r>
      <w:r w:rsidR="00634684" w:rsidRPr="00E130A7">
        <w:rPr>
          <w:sz w:val="28"/>
          <w:szCs w:val="28"/>
        </w:rPr>
        <w:t xml:space="preserve">perfizeram </w:t>
      </w:r>
      <w:r w:rsidR="004D4136" w:rsidRPr="00E130A7">
        <w:rPr>
          <w:sz w:val="28"/>
          <w:szCs w:val="28"/>
        </w:rPr>
        <w:t xml:space="preserve">um total de </w:t>
      </w:r>
      <w:r w:rsidR="004D4136" w:rsidRPr="00B439DF">
        <w:rPr>
          <w:sz w:val="28"/>
          <w:szCs w:val="28"/>
        </w:rPr>
        <w:t xml:space="preserve">R$ </w:t>
      </w:r>
      <w:r w:rsidR="00B439DF">
        <w:rPr>
          <w:sz w:val="28"/>
          <w:szCs w:val="28"/>
        </w:rPr>
        <w:t>2,5</w:t>
      </w:r>
      <w:r w:rsidR="00970180" w:rsidRPr="00E130A7">
        <w:rPr>
          <w:sz w:val="28"/>
          <w:szCs w:val="28"/>
        </w:rPr>
        <w:t xml:space="preserve"> </w:t>
      </w:r>
      <w:r w:rsidR="00F74496" w:rsidRPr="00E130A7">
        <w:rPr>
          <w:sz w:val="28"/>
          <w:szCs w:val="28"/>
        </w:rPr>
        <w:t>b</w:t>
      </w:r>
      <w:r w:rsidR="00970180" w:rsidRPr="00E130A7">
        <w:rPr>
          <w:sz w:val="28"/>
          <w:szCs w:val="28"/>
        </w:rPr>
        <w:t xml:space="preserve">ilhões, </w:t>
      </w:r>
      <w:r w:rsidR="00E130A7" w:rsidRPr="00E130A7">
        <w:rPr>
          <w:sz w:val="28"/>
          <w:szCs w:val="28"/>
        </w:rPr>
        <w:t>c</w:t>
      </w:r>
      <w:r w:rsidR="00F74496" w:rsidRPr="00E130A7">
        <w:rPr>
          <w:sz w:val="28"/>
          <w:szCs w:val="28"/>
        </w:rPr>
        <w:t xml:space="preserve">uja elevação expressiva se deu apenas no item ICMS, </w:t>
      </w:r>
      <w:r w:rsidR="00E130A7" w:rsidRPr="00E130A7">
        <w:rPr>
          <w:sz w:val="28"/>
          <w:szCs w:val="28"/>
        </w:rPr>
        <w:t xml:space="preserve">que atingiu o montante de </w:t>
      </w:r>
      <w:r w:rsidR="00F74496" w:rsidRPr="00E130A7">
        <w:rPr>
          <w:sz w:val="28"/>
          <w:szCs w:val="28"/>
        </w:rPr>
        <w:t xml:space="preserve">R$ </w:t>
      </w:r>
      <w:r w:rsidR="00601936">
        <w:rPr>
          <w:sz w:val="28"/>
          <w:szCs w:val="28"/>
        </w:rPr>
        <w:t>6</w:t>
      </w:r>
      <w:r w:rsidR="00F74496" w:rsidRPr="00B439DF">
        <w:rPr>
          <w:sz w:val="28"/>
          <w:szCs w:val="28"/>
        </w:rPr>
        <w:t xml:space="preserve"> bilhões</w:t>
      </w:r>
      <w:r w:rsidR="004D4136" w:rsidRPr="00B439DF">
        <w:rPr>
          <w:sz w:val="28"/>
          <w:szCs w:val="28"/>
        </w:rPr>
        <w:t>.</w:t>
      </w:r>
    </w:p>
    <w:p w:rsidR="004D4136" w:rsidRPr="00E130A7" w:rsidRDefault="004D4136" w:rsidP="00E874D2">
      <w:pPr>
        <w:pStyle w:val="Corpodetexto"/>
        <w:ind w:firstLine="1701"/>
        <w:rPr>
          <w:sz w:val="28"/>
          <w:szCs w:val="28"/>
        </w:rPr>
      </w:pPr>
    </w:p>
    <w:p w:rsidR="0055345D" w:rsidRDefault="0055345D" w:rsidP="0055345D">
      <w:pPr>
        <w:pStyle w:val="Corpodetexto"/>
        <w:ind w:firstLine="1701"/>
        <w:rPr>
          <w:sz w:val="28"/>
          <w:szCs w:val="28"/>
        </w:rPr>
      </w:pPr>
      <w:r w:rsidRPr="00E130A7">
        <w:rPr>
          <w:sz w:val="28"/>
          <w:szCs w:val="28"/>
        </w:rPr>
        <w:t xml:space="preserve">As receitas de </w:t>
      </w:r>
      <w:r w:rsidR="00A92086" w:rsidRPr="00E130A7">
        <w:rPr>
          <w:sz w:val="28"/>
          <w:szCs w:val="28"/>
        </w:rPr>
        <w:t>o</w:t>
      </w:r>
      <w:r w:rsidRPr="00E130A7">
        <w:rPr>
          <w:sz w:val="28"/>
          <w:szCs w:val="28"/>
        </w:rPr>
        <w:t>perações de crédito</w:t>
      </w:r>
      <w:r w:rsidR="00A92086">
        <w:rPr>
          <w:sz w:val="28"/>
          <w:szCs w:val="28"/>
        </w:rPr>
        <w:t xml:space="preserve"> foram</w:t>
      </w:r>
      <w:r>
        <w:rPr>
          <w:sz w:val="28"/>
          <w:szCs w:val="28"/>
        </w:rPr>
        <w:t xml:space="preserve"> informadas pela Secretaria de Estado de Fazenda, a luz das programações para captação de recursos ajustadas com o Ministério da Fazenda, por intermédio do Programa de</w:t>
      </w:r>
      <w:r w:rsidR="00F74496">
        <w:rPr>
          <w:sz w:val="28"/>
          <w:szCs w:val="28"/>
        </w:rPr>
        <w:t xml:space="preserve"> Reestruturação e</w:t>
      </w:r>
      <w:r w:rsidR="007F3C21">
        <w:rPr>
          <w:sz w:val="28"/>
          <w:szCs w:val="28"/>
        </w:rPr>
        <w:t xml:space="preserve"> Ajuste Fiscal – PAF, de sorte a permitir </w:t>
      </w:r>
      <w:r w:rsidR="00A92086">
        <w:rPr>
          <w:sz w:val="28"/>
          <w:szCs w:val="28"/>
        </w:rPr>
        <w:t xml:space="preserve">um volume de captação capaz de </w:t>
      </w:r>
      <w:r w:rsidR="003D1AAD">
        <w:rPr>
          <w:sz w:val="28"/>
          <w:szCs w:val="28"/>
        </w:rPr>
        <w:t xml:space="preserve">possibilitar a continuidade dos investimentos </w:t>
      </w:r>
      <w:r w:rsidR="00A92086">
        <w:rPr>
          <w:sz w:val="28"/>
          <w:szCs w:val="28"/>
        </w:rPr>
        <w:t>em</w:t>
      </w:r>
      <w:r w:rsidR="003D1AAD">
        <w:rPr>
          <w:sz w:val="28"/>
          <w:szCs w:val="28"/>
        </w:rPr>
        <w:t xml:space="preserve"> infraestrutura necessária </w:t>
      </w:r>
      <w:r w:rsidR="00C97779">
        <w:rPr>
          <w:sz w:val="28"/>
          <w:szCs w:val="28"/>
        </w:rPr>
        <w:t>à</w:t>
      </w:r>
      <w:r w:rsidR="003D1AAD">
        <w:rPr>
          <w:sz w:val="28"/>
          <w:szCs w:val="28"/>
        </w:rPr>
        <w:t xml:space="preserve"> </w:t>
      </w:r>
      <w:r w:rsidR="007F3C21">
        <w:rPr>
          <w:sz w:val="28"/>
          <w:szCs w:val="28"/>
        </w:rPr>
        <w:t xml:space="preserve">Capital da República, sobretudo considerando-se as proximidades dos grandes eventos internacionais, como </w:t>
      </w:r>
      <w:r w:rsidR="003D1AAD">
        <w:rPr>
          <w:sz w:val="28"/>
          <w:szCs w:val="28"/>
        </w:rPr>
        <w:t xml:space="preserve">a Copa de </w:t>
      </w:r>
      <w:r w:rsidR="0069473C">
        <w:rPr>
          <w:sz w:val="28"/>
          <w:szCs w:val="28"/>
        </w:rPr>
        <w:t>Futebol das Confederações em jun</w:t>
      </w:r>
      <w:r w:rsidR="003D1AAD">
        <w:rPr>
          <w:sz w:val="28"/>
          <w:szCs w:val="28"/>
        </w:rPr>
        <w:t>ho de 2013 e a Copa do Mundo de 2014.</w:t>
      </w:r>
    </w:p>
    <w:p w:rsidR="003D1AAD" w:rsidRDefault="003D1AAD" w:rsidP="00B439DF">
      <w:pPr>
        <w:pStyle w:val="Corpodetexto"/>
        <w:rPr>
          <w:sz w:val="28"/>
          <w:szCs w:val="28"/>
        </w:rPr>
      </w:pPr>
    </w:p>
    <w:p w:rsidR="003D1AAD" w:rsidRDefault="003D1AAD" w:rsidP="0055345D">
      <w:pPr>
        <w:pStyle w:val="Corpodetexto"/>
        <w:ind w:firstLine="1701"/>
        <w:rPr>
          <w:sz w:val="28"/>
          <w:szCs w:val="28"/>
        </w:rPr>
      </w:pPr>
      <w:r w:rsidRPr="00955923">
        <w:rPr>
          <w:sz w:val="28"/>
          <w:szCs w:val="28"/>
        </w:rPr>
        <w:t>As demais receitas foram atualizadas pelo crescimento real da economia (PIB Nacional</w:t>
      </w:r>
      <w:r w:rsidR="00F74496" w:rsidRPr="00955923">
        <w:rPr>
          <w:sz w:val="28"/>
          <w:szCs w:val="28"/>
        </w:rPr>
        <w:t xml:space="preserve"> – </w:t>
      </w:r>
      <w:r w:rsidR="00955923" w:rsidRPr="00955923">
        <w:rPr>
          <w:sz w:val="28"/>
          <w:szCs w:val="28"/>
        </w:rPr>
        <w:t>3,5</w:t>
      </w:r>
      <w:r w:rsidR="00601936">
        <w:rPr>
          <w:sz w:val="28"/>
          <w:szCs w:val="28"/>
        </w:rPr>
        <w:t>4</w:t>
      </w:r>
      <w:r w:rsidR="00F74496" w:rsidRPr="00955923">
        <w:rPr>
          <w:sz w:val="28"/>
          <w:szCs w:val="28"/>
        </w:rPr>
        <w:t>%</w:t>
      </w:r>
      <w:r w:rsidRPr="00955923">
        <w:rPr>
          <w:sz w:val="28"/>
          <w:szCs w:val="28"/>
        </w:rPr>
        <w:t>) e pela projeção da inflação do período, medida pelo IPCA</w:t>
      </w:r>
      <w:r w:rsidR="00F74496" w:rsidRPr="00955923">
        <w:rPr>
          <w:sz w:val="28"/>
          <w:szCs w:val="28"/>
        </w:rPr>
        <w:t xml:space="preserve"> (5,</w:t>
      </w:r>
      <w:r w:rsidR="00601936">
        <w:rPr>
          <w:sz w:val="28"/>
          <w:szCs w:val="28"/>
        </w:rPr>
        <w:t>70</w:t>
      </w:r>
      <w:r w:rsidR="00F74496" w:rsidRPr="00955923">
        <w:rPr>
          <w:sz w:val="28"/>
          <w:szCs w:val="28"/>
        </w:rPr>
        <w:t>%)</w:t>
      </w:r>
      <w:r w:rsidRPr="00955923">
        <w:rPr>
          <w:sz w:val="28"/>
          <w:szCs w:val="28"/>
        </w:rPr>
        <w:t xml:space="preserve">, </w:t>
      </w:r>
      <w:r w:rsidR="00F74496" w:rsidRPr="00955923">
        <w:rPr>
          <w:sz w:val="28"/>
          <w:szCs w:val="28"/>
        </w:rPr>
        <w:t xml:space="preserve">gerando </w:t>
      </w:r>
      <w:r w:rsidRPr="00955923">
        <w:rPr>
          <w:sz w:val="28"/>
          <w:szCs w:val="28"/>
        </w:rPr>
        <w:t xml:space="preserve">uma variação </w:t>
      </w:r>
      <w:r w:rsidR="00E130A7" w:rsidRPr="00955923">
        <w:rPr>
          <w:sz w:val="28"/>
          <w:szCs w:val="28"/>
        </w:rPr>
        <w:t xml:space="preserve">nominal </w:t>
      </w:r>
      <w:r w:rsidRPr="00955923">
        <w:rPr>
          <w:sz w:val="28"/>
          <w:szCs w:val="28"/>
        </w:rPr>
        <w:t xml:space="preserve">média </w:t>
      </w:r>
      <w:r w:rsidRPr="00601936">
        <w:rPr>
          <w:sz w:val="28"/>
          <w:szCs w:val="28"/>
        </w:rPr>
        <w:t xml:space="preserve">de </w:t>
      </w:r>
      <w:r w:rsidR="00601936" w:rsidRPr="00601936">
        <w:rPr>
          <w:sz w:val="28"/>
          <w:szCs w:val="28"/>
        </w:rPr>
        <w:t>9,24</w:t>
      </w:r>
      <w:r w:rsidRPr="00601936">
        <w:rPr>
          <w:sz w:val="28"/>
          <w:szCs w:val="28"/>
        </w:rPr>
        <w:t>%</w:t>
      </w:r>
      <w:r w:rsidRPr="00955923">
        <w:rPr>
          <w:sz w:val="28"/>
          <w:szCs w:val="28"/>
        </w:rPr>
        <w:t xml:space="preserve"> sobre as receitas previstas para o exercício de 201</w:t>
      </w:r>
      <w:r w:rsidR="009D5C73" w:rsidRPr="00955923">
        <w:rPr>
          <w:sz w:val="28"/>
          <w:szCs w:val="28"/>
        </w:rPr>
        <w:t>4</w:t>
      </w:r>
      <w:r w:rsidRPr="00955923">
        <w:rPr>
          <w:sz w:val="28"/>
          <w:szCs w:val="28"/>
        </w:rPr>
        <w:t>.</w:t>
      </w:r>
    </w:p>
    <w:p w:rsidR="00A92086" w:rsidRDefault="00A92086" w:rsidP="0055345D">
      <w:pPr>
        <w:pStyle w:val="Corpodetexto"/>
        <w:ind w:firstLine="1701"/>
        <w:rPr>
          <w:sz w:val="28"/>
          <w:szCs w:val="28"/>
        </w:rPr>
      </w:pPr>
    </w:p>
    <w:p w:rsidR="003D1AAD" w:rsidRDefault="003D1AAD" w:rsidP="0055345D">
      <w:pPr>
        <w:pStyle w:val="Corpodetexto"/>
        <w:ind w:firstLine="1701"/>
        <w:rPr>
          <w:sz w:val="28"/>
          <w:szCs w:val="28"/>
        </w:rPr>
      </w:pPr>
      <w:r w:rsidRPr="00E130A7">
        <w:rPr>
          <w:sz w:val="28"/>
          <w:szCs w:val="28"/>
        </w:rPr>
        <w:t xml:space="preserve">Assim, a </w:t>
      </w:r>
      <w:r w:rsidR="00B95AE1">
        <w:rPr>
          <w:sz w:val="28"/>
          <w:szCs w:val="28"/>
        </w:rPr>
        <w:t xml:space="preserve">despesa </w:t>
      </w:r>
      <w:r w:rsidRPr="00E130A7">
        <w:rPr>
          <w:sz w:val="28"/>
          <w:szCs w:val="28"/>
        </w:rPr>
        <w:t>estimada para os orçamentos fiscal e da seguridade social</w:t>
      </w:r>
      <w:r w:rsidR="00B95AE1">
        <w:rPr>
          <w:sz w:val="28"/>
          <w:szCs w:val="28"/>
        </w:rPr>
        <w:t xml:space="preserve"> </w:t>
      </w:r>
      <w:r w:rsidR="00F74496" w:rsidRPr="00E130A7">
        <w:rPr>
          <w:sz w:val="28"/>
          <w:szCs w:val="28"/>
        </w:rPr>
        <w:t>do Tesouro do Distrito Federal</w:t>
      </w:r>
      <w:r w:rsidR="00B95AE1" w:rsidRPr="00B95AE1">
        <w:rPr>
          <w:sz w:val="28"/>
          <w:szCs w:val="28"/>
        </w:rPr>
        <w:t xml:space="preserve"> </w:t>
      </w:r>
      <w:r w:rsidR="00B95AE1">
        <w:rPr>
          <w:sz w:val="28"/>
          <w:szCs w:val="28"/>
        </w:rPr>
        <w:t>(</w:t>
      </w:r>
      <w:r w:rsidR="00B95AE1" w:rsidRPr="00E130A7">
        <w:rPr>
          <w:sz w:val="28"/>
          <w:szCs w:val="28"/>
        </w:rPr>
        <w:t>R</w:t>
      </w:r>
      <w:r w:rsidR="00B95AE1" w:rsidRPr="00955923">
        <w:rPr>
          <w:sz w:val="28"/>
          <w:szCs w:val="28"/>
        </w:rPr>
        <w:t>$ 19,</w:t>
      </w:r>
      <w:r w:rsidR="00B95AE1">
        <w:rPr>
          <w:sz w:val="28"/>
          <w:szCs w:val="28"/>
        </w:rPr>
        <w:t>441</w:t>
      </w:r>
      <w:r w:rsidR="00B95AE1" w:rsidRPr="00955923">
        <w:rPr>
          <w:sz w:val="28"/>
          <w:szCs w:val="28"/>
        </w:rPr>
        <w:t xml:space="preserve"> bilhões</w:t>
      </w:r>
      <w:r w:rsidR="00B95AE1">
        <w:rPr>
          <w:sz w:val="28"/>
          <w:szCs w:val="28"/>
        </w:rPr>
        <w:t>)</w:t>
      </w:r>
      <w:r w:rsidR="00F74496" w:rsidRPr="00E130A7">
        <w:rPr>
          <w:sz w:val="28"/>
          <w:szCs w:val="28"/>
        </w:rPr>
        <w:t>,</w:t>
      </w:r>
      <w:r w:rsidR="00B95AE1">
        <w:rPr>
          <w:sz w:val="28"/>
          <w:szCs w:val="28"/>
        </w:rPr>
        <w:t xml:space="preserve"> juntamente </w:t>
      </w:r>
      <w:r w:rsidR="00B95AE1" w:rsidRPr="00E130A7">
        <w:rPr>
          <w:sz w:val="28"/>
          <w:szCs w:val="28"/>
        </w:rPr>
        <w:t xml:space="preserve">com </w:t>
      </w:r>
      <w:r w:rsidR="00B95AE1">
        <w:rPr>
          <w:sz w:val="28"/>
          <w:szCs w:val="28"/>
        </w:rPr>
        <w:t>as do Fundo Constitucional do Distrito Federal – FCDF (</w:t>
      </w:r>
      <w:r w:rsidR="00B95AE1" w:rsidRPr="00955923">
        <w:rPr>
          <w:sz w:val="28"/>
          <w:szCs w:val="28"/>
        </w:rPr>
        <w:t>R$ 12,147 bilhões</w:t>
      </w:r>
      <w:r w:rsidR="00B95AE1">
        <w:rPr>
          <w:sz w:val="28"/>
          <w:szCs w:val="28"/>
        </w:rPr>
        <w:t>),</w:t>
      </w:r>
      <w:r w:rsidR="00F74496" w:rsidRPr="00E130A7">
        <w:rPr>
          <w:sz w:val="28"/>
          <w:szCs w:val="28"/>
        </w:rPr>
        <w:t xml:space="preserve"> </w:t>
      </w:r>
      <w:r w:rsidR="001761DF" w:rsidRPr="00E130A7">
        <w:rPr>
          <w:sz w:val="28"/>
          <w:szCs w:val="28"/>
        </w:rPr>
        <w:t>relativa a</w:t>
      </w:r>
      <w:r w:rsidRPr="00E130A7">
        <w:rPr>
          <w:sz w:val="28"/>
          <w:szCs w:val="28"/>
        </w:rPr>
        <w:t>o exercício de 201</w:t>
      </w:r>
      <w:r w:rsidR="009D5C73">
        <w:rPr>
          <w:sz w:val="28"/>
          <w:szCs w:val="28"/>
        </w:rPr>
        <w:t>4</w:t>
      </w:r>
      <w:r w:rsidR="00F74496" w:rsidRPr="00E130A7">
        <w:rPr>
          <w:sz w:val="28"/>
          <w:szCs w:val="28"/>
        </w:rPr>
        <w:t>,</w:t>
      </w:r>
      <w:r w:rsidRPr="00E130A7">
        <w:rPr>
          <w:sz w:val="28"/>
          <w:szCs w:val="28"/>
        </w:rPr>
        <w:t xml:space="preserve"> </w:t>
      </w:r>
      <w:r w:rsidR="001761DF" w:rsidRPr="00955923">
        <w:rPr>
          <w:sz w:val="28"/>
          <w:szCs w:val="28"/>
        </w:rPr>
        <w:t>totaliza</w:t>
      </w:r>
      <w:r w:rsidR="00B95AE1">
        <w:rPr>
          <w:sz w:val="28"/>
          <w:szCs w:val="28"/>
        </w:rPr>
        <w:t xml:space="preserve"> </w:t>
      </w:r>
      <w:r w:rsidR="001761DF" w:rsidRPr="00955923">
        <w:rPr>
          <w:sz w:val="28"/>
          <w:szCs w:val="28"/>
        </w:rPr>
        <w:t xml:space="preserve">R$ </w:t>
      </w:r>
      <w:r w:rsidR="00310B1A">
        <w:rPr>
          <w:sz w:val="28"/>
          <w:szCs w:val="28"/>
        </w:rPr>
        <w:t>31,5</w:t>
      </w:r>
      <w:r w:rsidR="00955923" w:rsidRPr="00955923">
        <w:rPr>
          <w:sz w:val="28"/>
          <w:szCs w:val="28"/>
        </w:rPr>
        <w:t>58</w:t>
      </w:r>
      <w:r w:rsidR="00E130A7" w:rsidRPr="00955923">
        <w:rPr>
          <w:sz w:val="28"/>
          <w:szCs w:val="28"/>
        </w:rPr>
        <w:t xml:space="preserve"> b</w:t>
      </w:r>
      <w:r w:rsidR="00A92086" w:rsidRPr="00955923">
        <w:rPr>
          <w:sz w:val="28"/>
          <w:szCs w:val="28"/>
        </w:rPr>
        <w:t>ilhões</w:t>
      </w:r>
      <w:r w:rsidR="001761DF" w:rsidRPr="00955923">
        <w:rPr>
          <w:sz w:val="28"/>
          <w:szCs w:val="28"/>
        </w:rPr>
        <w:t>.</w:t>
      </w:r>
    </w:p>
    <w:p w:rsidR="0055345D" w:rsidRDefault="0055345D" w:rsidP="0055345D">
      <w:pPr>
        <w:pStyle w:val="Corpodetexto"/>
        <w:ind w:firstLine="1701"/>
        <w:rPr>
          <w:sz w:val="28"/>
          <w:szCs w:val="28"/>
        </w:rPr>
      </w:pPr>
    </w:p>
    <w:p w:rsidR="00C87EAA" w:rsidRDefault="001761DF" w:rsidP="0055345D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Para o estabelecimento da </w:t>
      </w:r>
      <w:r w:rsidR="00CF6FE4">
        <w:rPr>
          <w:sz w:val="28"/>
          <w:szCs w:val="28"/>
        </w:rPr>
        <w:t>despesa para o exercício de 201</w:t>
      </w:r>
      <w:r w:rsidR="009D5C7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CF6FE4">
        <w:rPr>
          <w:sz w:val="28"/>
          <w:szCs w:val="28"/>
        </w:rPr>
        <w:t xml:space="preserve"> no caso de pessoal e </w:t>
      </w:r>
      <w:r w:rsidR="00CF6FE4" w:rsidRPr="00E130A7">
        <w:rPr>
          <w:sz w:val="28"/>
          <w:szCs w:val="28"/>
        </w:rPr>
        <w:t>encargos sociais,</w:t>
      </w:r>
      <w:r w:rsidR="005C6A63">
        <w:rPr>
          <w:sz w:val="28"/>
          <w:szCs w:val="28"/>
        </w:rPr>
        <w:t xml:space="preserve"> que alcançou o montante de R$ 10 bilhões, </w:t>
      </w:r>
      <w:r w:rsidRPr="00E130A7">
        <w:rPr>
          <w:sz w:val="28"/>
          <w:szCs w:val="28"/>
        </w:rPr>
        <w:t xml:space="preserve">levou-se em conta </w:t>
      </w:r>
      <w:r w:rsidR="00BE0B0D" w:rsidRPr="00E130A7">
        <w:rPr>
          <w:sz w:val="28"/>
          <w:szCs w:val="28"/>
        </w:rPr>
        <w:t>a a</w:t>
      </w:r>
      <w:r w:rsidR="00B95AE1">
        <w:rPr>
          <w:sz w:val="28"/>
          <w:szCs w:val="28"/>
        </w:rPr>
        <w:t>puração da folha de pagamento</w:t>
      </w:r>
      <w:r w:rsidR="00BE0B0D" w:rsidRPr="00E130A7">
        <w:rPr>
          <w:sz w:val="28"/>
          <w:szCs w:val="28"/>
        </w:rPr>
        <w:t>, ajustada com base no mês de março de 201</w:t>
      </w:r>
      <w:r w:rsidR="009D5C73">
        <w:rPr>
          <w:sz w:val="28"/>
          <w:szCs w:val="28"/>
        </w:rPr>
        <w:t>3</w:t>
      </w:r>
      <w:r w:rsidR="00BE0B0D" w:rsidRPr="00E130A7">
        <w:rPr>
          <w:sz w:val="28"/>
          <w:szCs w:val="28"/>
        </w:rPr>
        <w:t xml:space="preserve">, atualizadas pelo </w:t>
      </w:r>
      <w:r w:rsidR="00591D22" w:rsidRPr="00E130A7">
        <w:rPr>
          <w:sz w:val="28"/>
          <w:szCs w:val="28"/>
        </w:rPr>
        <w:t>c</w:t>
      </w:r>
      <w:r w:rsidR="00BE0B0D" w:rsidRPr="00E130A7">
        <w:rPr>
          <w:sz w:val="28"/>
          <w:szCs w:val="28"/>
        </w:rPr>
        <w:t xml:space="preserve">rescimento </w:t>
      </w:r>
      <w:r w:rsidR="00591D22" w:rsidRPr="00E130A7">
        <w:rPr>
          <w:sz w:val="28"/>
          <w:szCs w:val="28"/>
        </w:rPr>
        <w:t>v</w:t>
      </w:r>
      <w:r w:rsidR="00BE0B0D" w:rsidRPr="00E130A7">
        <w:rPr>
          <w:sz w:val="28"/>
          <w:szCs w:val="28"/>
        </w:rPr>
        <w:t xml:space="preserve">egetativo </w:t>
      </w:r>
      <w:r w:rsidR="00BE0B0D" w:rsidRPr="007919B2">
        <w:rPr>
          <w:sz w:val="28"/>
          <w:szCs w:val="28"/>
        </w:rPr>
        <w:t>de 3</w:t>
      </w:r>
      <w:r w:rsidR="00E130A7" w:rsidRPr="007919B2">
        <w:rPr>
          <w:sz w:val="28"/>
          <w:szCs w:val="28"/>
        </w:rPr>
        <w:t>,</w:t>
      </w:r>
      <w:r w:rsidR="007919B2" w:rsidRPr="007919B2">
        <w:rPr>
          <w:sz w:val="28"/>
          <w:szCs w:val="28"/>
        </w:rPr>
        <w:t>6</w:t>
      </w:r>
      <w:r w:rsidR="00BE0B0D" w:rsidRPr="007919B2">
        <w:rPr>
          <w:sz w:val="28"/>
          <w:szCs w:val="28"/>
        </w:rPr>
        <w:t xml:space="preserve">% ao </w:t>
      </w:r>
      <w:r w:rsidR="00E130A7" w:rsidRPr="007919B2">
        <w:rPr>
          <w:sz w:val="28"/>
          <w:szCs w:val="28"/>
        </w:rPr>
        <w:t>ano</w:t>
      </w:r>
      <w:r w:rsidR="00CF6FE4" w:rsidRPr="00E130A7">
        <w:rPr>
          <w:sz w:val="28"/>
          <w:szCs w:val="28"/>
        </w:rPr>
        <w:t>, acrescida</w:t>
      </w:r>
      <w:r w:rsidR="00BE0B0D" w:rsidRPr="00E130A7">
        <w:rPr>
          <w:sz w:val="28"/>
          <w:szCs w:val="28"/>
        </w:rPr>
        <w:t xml:space="preserve"> das despesas com terceirização, indenizações trabalhistas e sentenças judiciais</w:t>
      </w:r>
      <w:r w:rsidR="00B95AE1">
        <w:rPr>
          <w:sz w:val="28"/>
          <w:szCs w:val="28"/>
        </w:rPr>
        <w:t>, exercícios anteriores, requisições</w:t>
      </w:r>
      <w:r w:rsidR="005C6A63">
        <w:rPr>
          <w:sz w:val="28"/>
          <w:szCs w:val="28"/>
        </w:rPr>
        <w:t xml:space="preserve"> e terceirizações</w:t>
      </w:r>
      <w:r w:rsidR="00BE0B0D" w:rsidRPr="00E130A7">
        <w:rPr>
          <w:sz w:val="28"/>
          <w:szCs w:val="28"/>
        </w:rPr>
        <w:t xml:space="preserve">. A esse elenco, somam-se as despesas </w:t>
      </w:r>
      <w:r w:rsidR="00353BD7" w:rsidRPr="00E130A7">
        <w:rPr>
          <w:sz w:val="28"/>
          <w:szCs w:val="28"/>
        </w:rPr>
        <w:t>autorizadas a sofrerem acréscimos</w:t>
      </w:r>
      <w:r w:rsidR="00BE0B0D" w:rsidRPr="00E130A7">
        <w:rPr>
          <w:sz w:val="28"/>
          <w:szCs w:val="28"/>
        </w:rPr>
        <w:t xml:space="preserve">, </w:t>
      </w:r>
      <w:r w:rsidR="002410A3" w:rsidRPr="00E130A7">
        <w:rPr>
          <w:sz w:val="28"/>
          <w:szCs w:val="28"/>
        </w:rPr>
        <w:t xml:space="preserve">relacionadas </w:t>
      </w:r>
      <w:r w:rsidR="00BE0B0D" w:rsidRPr="00E130A7">
        <w:rPr>
          <w:sz w:val="28"/>
          <w:szCs w:val="28"/>
        </w:rPr>
        <w:t>a melhorias salariais</w:t>
      </w:r>
      <w:r w:rsidR="005C6A63">
        <w:rPr>
          <w:sz w:val="28"/>
          <w:szCs w:val="28"/>
        </w:rPr>
        <w:t xml:space="preserve"> e</w:t>
      </w:r>
      <w:r w:rsidR="00BE0B0D" w:rsidRPr="00E130A7">
        <w:rPr>
          <w:sz w:val="28"/>
          <w:szCs w:val="28"/>
        </w:rPr>
        <w:t xml:space="preserve"> nomeações decorrentes de concursos públicos</w:t>
      </w:r>
      <w:r w:rsidR="00BE0B0D">
        <w:rPr>
          <w:sz w:val="28"/>
          <w:szCs w:val="28"/>
        </w:rPr>
        <w:t xml:space="preserve">. </w:t>
      </w:r>
    </w:p>
    <w:p w:rsidR="00C87EAA" w:rsidRDefault="00C87EAA" w:rsidP="0055345D">
      <w:pPr>
        <w:pStyle w:val="Corpodetexto"/>
        <w:ind w:firstLine="1701"/>
        <w:rPr>
          <w:sz w:val="28"/>
          <w:szCs w:val="28"/>
        </w:rPr>
      </w:pPr>
    </w:p>
    <w:p w:rsidR="0055345D" w:rsidRDefault="00C87EAA" w:rsidP="0055345D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Importa </w:t>
      </w:r>
      <w:r w:rsidR="006B7C49">
        <w:rPr>
          <w:sz w:val="28"/>
          <w:szCs w:val="28"/>
        </w:rPr>
        <w:t>esclarecer que a despesa de pessoal a ser custeada com recurso</w:t>
      </w:r>
      <w:r w:rsidR="00B95AE1">
        <w:rPr>
          <w:sz w:val="28"/>
          <w:szCs w:val="28"/>
        </w:rPr>
        <w:t>s do Tesouro local leva em cont</w:t>
      </w:r>
      <w:r w:rsidR="006B7C49">
        <w:rPr>
          <w:sz w:val="28"/>
          <w:szCs w:val="28"/>
        </w:rPr>
        <w:t xml:space="preserve">a o </w:t>
      </w:r>
      <w:r w:rsidR="005C6A63">
        <w:rPr>
          <w:sz w:val="28"/>
          <w:szCs w:val="28"/>
        </w:rPr>
        <w:t>montante relativo a essa</w:t>
      </w:r>
      <w:r w:rsidR="00B95AE1">
        <w:rPr>
          <w:sz w:val="28"/>
          <w:szCs w:val="28"/>
        </w:rPr>
        <w:t xml:space="preserve"> despesa das áreas de Educação e Saúde não suportado pelo Fundo Constitucional</w:t>
      </w:r>
      <w:r>
        <w:rPr>
          <w:sz w:val="28"/>
          <w:szCs w:val="28"/>
        </w:rPr>
        <w:t>.</w:t>
      </w:r>
      <w:r w:rsidR="006B7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F617D" w:rsidRDefault="002F617D" w:rsidP="00E874D2">
      <w:pPr>
        <w:pStyle w:val="Corpodetexto"/>
        <w:ind w:firstLine="1701"/>
        <w:rPr>
          <w:sz w:val="28"/>
          <w:szCs w:val="28"/>
        </w:rPr>
      </w:pPr>
    </w:p>
    <w:p w:rsidR="002F617D" w:rsidRDefault="002F617D" w:rsidP="00E874D2">
      <w:pPr>
        <w:pStyle w:val="Corpodetexto"/>
        <w:ind w:firstLine="1701"/>
        <w:rPr>
          <w:sz w:val="28"/>
          <w:szCs w:val="28"/>
        </w:rPr>
      </w:pPr>
    </w:p>
    <w:p w:rsidR="006B7C49" w:rsidRDefault="00353BD7" w:rsidP="00E874D2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Paralelo a isso, </w:t>
      </w:r>
      <w:r w:rsidR="00591D22">
        <w:rPr>
          <w:sz w:val="28"/>
          <w:szCs w:val="28"/>
        </w:rPr>
        <w:t>foram definidas</w:t>
      </w:r>
      <w:r>
        <w:rPr>
          <w:sz w:val="28"/>
          <w:szCs w:val="28"/>
        </w:rPr>
        <w:t xml:space="preserve"> as despesas com juros</w:t>
      </w:r>
      <w:r w:rsidR="00C97779">
        <w:rPr>
          <w:sz w:val="28"/>
          <w:szCs w:val="28"/>
        </w:rPr>
        <w:t>,</w:t>
      </w:r>
      <w:r>
        <w:rPr>
          <w:sz w:val="28"/>
          <w:szCs w:val="28"/>
        </w:rPr>
        <w:t xml:space="preserve"> encargos e</w:t>
      </w:r>
      <w:r w:rsidR="00591D22">
        <w:rPr>
          <w:sz w:val="28"/>
          <w:szCs w:val="28"/>
        </w:rPr>
        <w:t xml:space="preserve"> amortização da dívida pública e com a </w:t>
      </w:r>
      <w:r>
        <w:rPr>
          <w:sz w:val="28"/>
          <w:szCs w:val="28"/>
        </w:rPr>
        <w:t>concessão de empréstimos e financiamento</w:t>
      </w:r>
      <w:r w:rsidR="00591D22">
        <w:rPr>
          <w:sz w:val="28"/>
          <w:szCs w:val="28"/>
        </w:rPr>
        <w:t>s</w:t>
      </w:r>
      <w:r>
        <w:rPr>
          <w:sz w:val="28"/>
          <w:szCs w:val="28"/>
        </w:rPr>
        <w:t>, inform</w:t>
      </w:r>
      <w:r w:rsidR="005C6A63">
        <w:rPr>
          <w:sz w:val="28"/>
          <w:szCs w:val="28"/>
        </w:rPr>
        <w:t>ados pela Secretaria de Fazenda, para fins de apuração do resultado primário.</w:t>
      </w:r>
      <w:r>
        <w:rPr>
          <w:sz w:val="28"/>
          <w:szCs w:val="28"/>
        </w:rPr>
        <w:t xml:space="preserve"> </w:t>
      </w:r>
      <w:r w:rsidR="00591D22">
        <w:rPr>
          <w:sz w:val="28"/>
          <w:szCs w:val="28"/>
        </w:rPr>
        <w:t xml:space="preserve"> </w:t>
      </w:r>
    </w:p>
    <w:p w:rsidR="006B7C49" w:rsidRDefault="006B7C49" w:rsidP="00E874D2">
      <w:pPr>
        <w:pStyle w:val="Corpodetexto"/>
        <w:ind w:firstLine="1701"/>
        <w:rPr>
          <w:sz w:val="28"/>
          <w:szCs w:val="28"/>
        </w:rPr>
      </w:pPr>
    </w:p>
    <w:p w:rsidR="005561FA" w:rsidRDefault="006B7C49" w:rsidP="00E874D2">
      <w:pPr>
        <w:pStyle w:val="Corpodetexto"/>
        <w:ind w:firstLine="1701"/>
        <w:rPr>
          <w:sz w:val="28"/>
          <w:szCs w:val="28"/>
        </w:rPr>
      </w:pPr>
      <w:r w:rsidRPr="00E130A7">
        <w:rPr>
          <w:sz w:val="28"/>
          <w:szCs w:val="28"/>
        </w:rPr>
        <w:t xml:space="preserve">Diante </w:t>
      </w:r>
      <w:r w:rsidR="00C87EAA">
        <w:rPr>
          <w:sz w:val="28"/>
          <w:szCs w:val="28"/>
        </w:rPr>
        <w:t xml:space="preserve">da estimativa da Receita Corrente Líquida do Distrito Federal, </w:t>
      </w:r>
      <w:r w:rsidRPr="00E130A7">
        <w:rPr>
          <w:sz w:val="28"/>
          <w:szCs w:val="28"/>
        </w:rPr>
        <w:t xml:space="preserve">o </w:t>
      </w:r>
      <w:r w:rsidR="00591D22" w:rsidRPr="00E130A7">
        <w:rPr>
          <w:sz w:val="28"/>
          <w:szCs w:val="28"/>
        </w:rPr>
        <w:t>valo</w:t>
      </w:r>
      <w:r w:rsidRPr="00E130A7">
        <w:rPr>
          <w:sz w:val="28"/>
          <w:szCs w:val="28"/>
        </w:rPr>
        <w:t xml:space="preserve">r destinado à </w:t>
      </w:r>
      <w:r w:rsidR="00591D22" w:rsidRPr="00E130A7">
        <w:rPr>
          <w:sz w:val="28"/>
          <w:szCs w:val="28"/>
        </w:rPr>
        <w:t xml:space="preserve">Reserva de Contingência </w:t>
      </w:r>
      <w:r w:rsidR="00C87EAA">
        <w:rPr>
          <w:sz w:val="28"/>
          <w:szCs w:val="28"/>
        </w:rPr>
        <w:t xml:space="preserve">é </w:t>
      </w:r>
      <w:r w:rsidRPr="00E130A7">
        <w:rPr>
          <w:sz w:val="28"/>
          <w:szCs w:val="28"/>
        </w:rPr>
        <w:t xml:space="preserve">fixado em </w:t>
      </w:r>
      <w:r w:rsidRPr="00007A81">
        <w:rPr>
          <w:sz w:val="28"/>
          <w:szCs w:val="28"/>
        </w:rPr>
        <w:t xml:space="preserve">R$ </w:t>
      </w:r>
      <w:r w:rsidR="00007A81" w:rsidRPr="00007A81">
        <w:rPr>
          <w:sz w:val="28"/>
          <w:szCs w:val="28"/>
        </w:rPr>
        <w:t>498,815</w:t>
      </w:r>
      <w:r w:rsidR="00E130A7" w:rsidRPr="00007A81">
        <w:rPr>
          <w:sz w:val="28"/>
          <w:szCs w:val="28"/>
        </w:rPr>
        <w:t xml:space="preserve"> milhões</w:t>
      </w:r>
      <w:r w:rsidRPr="00007A81">
        <w:rPr>
          <w:sz w:val="28"/>
          <w:szCs w:val="28"/>
        </w:rPr>
        <w:t xml:space="preserve">, correspondente a </w:t>
      </w:r>
      <w:r w:rsidR="00591D22" w:rsidRPr="00007A81">
        <w:rPr>
          <w:sz w:val="28"/>
          <w:szCs w:val="28"/>
        </w:rPr>
        <w:t>3%</w:t>
      </w:r>
      <w:r w:rsidR="00F63BF9" w:rsidRPr="00E130A7">
        <w:rPr>
          <w:sz w:val="28"/>
          <w:szCs w:val="28"/>
        </w:rPr>
        <w:t xml:space="preserve"> da Receita Corrente Líquida</w:t>
      </w:r>
      <w:r w:rsidR="005C6A63">
        <w:rPr>
          <w:sz w:val="28"/>
          <w:szCs w:val="28"/>
        </w:rPr>
        <w:t>,</w:t>
      </w:r>
      <w:r w:rsidR="00E130A7">
        <w:rPr>
          <w:sz w:val="28"/>
          <w:szCs w:val="28"/>
        </w:rPr>
        <w:t xml:space="preserve"> estimada para 201</w:t>
      </w:r>
      <w:r w:rsidR="009D5C73">
        <w:rPr>
          <w:sz w:val="28"/>
          <w:szCs w:val="28"/>
        </w:rPr>
        <w:t>4</w:t>
      </w:r>
      <w:r w:rsidR="00C87EAA">
        <w:rPr>
          <w:sz w:val="28"/>
          <w:szCs w:val="28"/>
        </w:rPr>
        <w:t>, a qual deverá ser utilizada, parcialmente, para apresentação de emendas parlamentares</w:t>
      </w:r>
      <w:r w:rsidR="00591D22" w:rsidRPr="00E130A7">
        <w:rPr>
          <w:sz w:val="28"/>
          <w:szCs w:val="28"/>
        </w:rPr>
        <w:t>.</w:t>
      </w:r>
      <w:r w:rsidR="00F63BF9">
        <w:rPr>
          <w:sz w:val="28"/>
          <w:szCs w:val="28"/>
        </w:rPr>
        <w:t xml:space="preserve"> </w:t>
      </w:r>
    </w:p>
    <w:p w:rsidR="00F92EAB" w:rsidRDefault="00F92EAB" w:rsidP="00E874D2">
      <w:pPr>
        <w:pStyle w:val="Corpodetexto"/>
        <w:ind w:firstLine="1701"/>
        <w:rPr>
          <w:sz w:val="28"/>
          <w:szCs w:val="28"/>
        </w:rPr>
      </w:pPr>
    </w:p>
    <w:p w:rsidR="0041512C" w:rsidRPr="0057577D" w:rsidRDefault="002F77CD" w:rsidP="00E874D2">
      <w:pPr>
        <w:pStyle w:val="Corpodetexto"/>
        <w:ind w:firstLine="1701"/>
        <w:rPr>
          <w:sz w:val="28"/>
          <w:szCs w:val="28"/>
        </w:rPr>
      </w:pPr>
      <w:r w:rsidRPr="0057577D">
        <w:rPr>
          <w:sz w:val="28"/>
          <w:szCs w:val="28"/>
        </w:rPr>
        <w:t xml:space="preserve">Já os investimentos </w:t>
      </w:r>
      <w:r w:rsidR="005C6A63">
        <w:rPr>
          <w:sz w:val="28"/>
          <w:szCs w:val="28"/>
        </w:rPr>
        <w:t xml:space="preserve">estão </w:t>
      </w:r>
      <w:r w:rsidRPr="0057577D">
        <w:rPr>
          <w:sz w:val="28"/>
          <w:szCs w:val="28"/>
        </w:rPr>
        <w:t>estima</w:t>
      </w:r>
      <w:r w:rsidRPr="0005624A">
        <w:rPr>
          <w:sz w:val="28"/>
          <w:szCs w:val="28"/>
        </w:rPr>
        <w:t xml:space="preserve">dos em R$ </w:t>
      </w:r>
      <w:r w:rsidR="00C87EAA">
        <w:rPr>
          <w:sz w:val="28"/>
          <w:szCs w:val="28"/>
        </w:rPr>
        <w:t>2,591</w:t>
      </w:r>
      <w:r w:rsidR="00E130A7" w:rsidRPr="0005624A">
        <w:rPr>
          <w:sz w:val="28"/>
          <w:szCs w:val="28"/>
        </w:rPr>
        <w:t xml:space="preserve"> b</w:t>
      </w:r>
      <w:r w:rsidRPr="0005624A">
        <w:rPr>
          <w:sz w:val="28"/>
          <w:szCs w:val="28"/>
        </w:rPr>
        <w:t>ilh</w:t>
      </w:r>
      <w:r w:rsidR="00C87EAA">
        <w:rPr>
          <w:sz w:val="28"/>
          <w:szCs w:val="28"/>
        </w:rPr>
        <w:t>ões</w:t>
      </w:r>
      <w:r w:rsidR="005C6A63">
        <w:rPr>
          <w:sz w:val="28"/>
          <w:szCs w:val="28"/>
        </w:rPr>
        <w:t xml:space="preserve">. Para as despesas de manutenção e funcionamento da administração pública, estão destinados R$ </w:t>
      </w:r>
      <w:r w:rsidR="00C41A49">
        <w:rPr>
          <w:sz w:val="28"/>
          <w:szCs w:val="28"/>
        </w:rPr>
        <w:t>5,2 bilhões.</w:t>
      </w:r>
    </w:p>
    <w:p w:rsidR="000A7228" w:rsidRPr="0057577D" w:rsidRDefault="000A7228" w:rsidP="005561FA">
      <w:pPr>
        <w:pStyle w:val="Corpodetexto"/>
        <w:ind w:firstLine="1701"/>
        <w:rPr>
          <w:sz w:val="28"/>
          <w:szCs w:val="28"/>
        </w:rPr>
      </w:pPr>
    </w:p>
    <w:p w:rsidR="005561FA" w:rsidRPr="005561FA" w:rsidRDefault="00A428AB" w:rsidP="006B7C49">
      <w:pPr>
        <w:pStyle w:val="Corpodetexto"/>
        <w:ind w:firstLine="907"/>
        <w:rPr>
          <w:sz w:val="28"/>
          <w:szCs w:val="28"/>
        </w:rPr>
      </w:pPr>
      <w:r w:rsidRPr="0057577D">
        <w:rPr>
          <w:sz w:val="28"/>
          <w:szCs w:val="28"/>
        </w:rPr>
        <w:t xml:space="preserve">          </w:t>
      </w:r>
      <w:r w:rsidR="005561FA" w:rsidRPr="0057577D">
        <w:rPr>
          <w:sz w:val="28"/>
          <w:szCs w:val="28"/>
        </w:rPr>
        <w:t>O Projeto de Lei de Diretrizes</w:t>
      </w:r>
      <w:r w:rsidR="005561FA" w:rsidRPr="005561FA">
        <w:rPr>
          <w:sz w:val="28"/>
          <w:szCs w:val="28"/>
        </w:rPr>
        <w:t xml:space="preserve"> Orçamentárias para o exercício de 201</w:t>
      </w:r>
      <w:r w:rsidR="009D5C73">
        <w:rPr>
          <w:sz w:val="28"/>
          <w:szCs w:val="28"/>
        </w:rPr>
        <w:t>4</w:t>
      </w:r>
      <w:r w:rsidR="004B5A7F">
        <w:rPr>
          <w:sz w:val="28"/>
          <w:szCs w:val="28"/>
        </w:rPr>
        <w:t xml:space="preserve"> </w:t>
      </w:r>
      <w:r w:rsidR="005561FA" w:rsidRPr="005561FA">
        <w:rPr>
          <w:sz w:val="28"/>
          <w:szCs w:val="28"/>
        </w:rPr>
        <w:t xml:space="preserve">apresenta </w:t>
      </w:r>
      <w:r>
        <w:rPr>
          <w:sz w:val="28"/>
          <w:szCs w:val="28"/>
        </w:rPr>
        <w:t xml:space="preserve">substanciais </w:t>
      </w:r>
      <w:r w:rsidR="005561FA" w:rsidRPr="005561FA">
        <w:rPr>
          <w:sz w:val="28"/>
          <w:szCs w:val="28"/>
        </w:rPr>
        <w:t xml:space="preserve">melhorias e avanços, contemplando, </w:t>
      </w:r>
      <w:r w:rsidR="0000129D">
        <w:rPr>
          <w:sz w:val="28"/>
          <w:szCs w:val="28"/>
        </w:rPr>
        <w:t>dentre outros aspectos, o seguinte</w:t>
      </w:r>
      <w:r w:rsidR="005561FA" w:rsidRPr="005561FA">
        <w:rPr>
          <w:sz w:val="28"/>
          <w:szCs w:val="28"/>
        </w:rPr>
        <w:t>:</w:t>
      </w:r>
    </w:p>
    <w:p w:rsidR="005561FA" w:rsidRPr="005561FA" w:rsidRDefault="005561FA" w:rsidP="005561FA">
      <w:pPr>
        <w:pStyle w:val="Corpodetexto"/>
        <w:tabs>
          <w:tab w:val="left" w:pos="1701"/>
        </w:tabs>
        <w:rPr>
          <w:sz w:val="28"/>
          <w:szCs w:val="28"/>
        </w:rPr>
      </w:pPr>
    </w:p>
    <w:p w:rsidR="005561FA" w:rsidRPr="005561FA" w:rsidRDefault="005561FA" w:rsidP="005561FA">
      <w:pPr>
        <w:pStyle w:val="Corpodetexto"/>
        <w:numPr>
          <w:ilvl w:val="0"/>
          <w:numId w:val="4"/>
        </w:numPr>
        <w:tabs>
          <w:tab w:val="clear" w:pos="720"/>
          <w:tab w:val="left" w:pos="1985"/>
        </w:tabs>
        <w:autoSpaceDE/>
        <w:autoSpaceDN/>
        <w:adjustRightInd/>
        <w:ind w:left="1701" w:hanging="11"/>
        <w:rPr>
          <w:sz w:val="28"/>
          <w:szCs w:val="28"/>
        </w:rPr>
      </w:pPr>
      <w:r w:rsidRPr="005561FA">
        <w:rPr>
          <w:sz w:val="28"/>
          <w:szCs w:val="28"/>
        </w:rPr>
        <w:t xml:space="preserve">Reestruturação </w:t>
      </w:r>
      <w:r w:rsidR="00F33911">
        <w:rPr>
          <w:sz w:val="28"/>
          <w:szCs w:val="28"/>
        </w:rPr>
        <w:t xml:space="preserve">e racionalização da sua estrutura, </w:t>
      </w:r>
      <w:r w:rsidRPr="005561FA">
        <w:rPr>
          <w:sz w:val="28"/>
          <w:szCs w:val="28"/>
        </w:rPr>
        <w:t xml:space="preserve">objetivando </w:t>
      </w:r>
      <w:r w:rsidR="00F33911">
        <w:rPr>
          <w:sz w:val="28"/>
          <w:szCs w:val="28"/>
        </w:rPr>
        <w:t xml:space="preserve">a agilidade e exeqüibilidade das </w:t>
      </w:r>
      <w:r w:rsidRPr="005561FA">
        <w:rPr>
          <w:sz w:val="28"/>
          <w:szCs w:val="28"/>
        </w:rPr>
        <w:t>decisões de governo, bem como facilitar a sua leitura e oferecer um roteiro claro e seguro para a elaboração da lei orçamentária anual;</w:t>
      </w:r>
    </w:p>
    <w:p w:rsidR="005561FA" w:rsidRPr="005561FA" w:rsidRDefault="005561FA" w:rsidP="005561FA">
      <w:pPr>
        <w:pStyle w:val="PargrafodaLista"/>
        <w:ind w:left="0"/>
        <w:rPr>
          <w:sz w:val="28"/>
          <w:szCs w:val="28"/>
        </w:rPr>
      </w:pPr>
    </w:p>
    <w:p w:rsidR="005561FA" w:rsidRDefault="004F72B0" w:rsidP="005561FA">
      <w:pPr>
        <w:pStyle w:val="Corpodetexto"/>
        <w:numPr>
          <w:ilvl w:val="0"/>
          <w:numId w:val="4"/>
        </w:numPr>
        <w:tabs>
          <w:tab w:val="clear" w:pos="720"/>
          <w:tab w:val="num" w:pos="567"/>
          <w:tab w:val="left" w:pos="1985"/>
        </w:tabs>
        <w:autoSpaceDE/>
        <w:autoSpaceDN/>
        <w:adjustRightInd/>
        <w:ind w:left="1701" w:hanging="11"/>
        <w:rPr>
          <w:sz w:val="28"/>
          <w:szCs w:val="28"/>
        </w:rPr>
      </w:pPr>
      <w:r w:rsidRPr="004F72B0">
        <w:rPr>
          <w:sz w:val="28"/>
          <w:szCs w:val="28"/>
        </w:rPr>
        <w:t xml:space="preserve">Inclusão de sugestões advindas da sociedade, </w:t>
      </w:r>
      <w:r w:rsidR="005561FA" w:rsidRPr="004F72B0">
        <w:rPr>
          <w:sz w:val="28"/>
          <w:szCs w:val="28"/>
        </w:rPr>
        <w:t>fruto da participação popula</w:t>
      </w:r>
      <w:r>
        <w:rPr>
          <w:sz w:val="28"/>
          <w:szCs w:val="28"/>
        </w:rPr>
        <w:t>r por meio de audiência pública</w:t>
      </w:r>
      <w:r w:rsidR="00C41A49">
        <w:rPr>
          <w:sz w:val="28"/>
          <w:szCs w:val="28"/>
        </w:rPr>
        <w:t>, com destaque para as do Ministério Público do Distrito Federal e Territórios</w:t>
      </w:r>
      <w:r>
        <w:rPr>
          <w:sz w:val="28"/>
          <w:szCs w:val="28"/>
        </w:rPr>
        <w:t>;</w:t>
      </w:r>
    </w:p>
    <w:p w:rsidR="004F72B0" w:rsidRDefault="004F72B0" w:rsidP="004F72B0">
      <w:pPr>
        <w:pStyle w:val="PargrafodaLista"/>
        <w:rPr>
          <w:sz w:val="28"/>
          <w:szCs w:val="28"/>
        </w:rPr>
      </w:pPr>
    </w:p>
    <w:p w:rsidR="003E0348" w:rsidRDefault="005561FA" w:rsidP="005561FA">
      <w:pPr>
        <w:pStyle w:val="Corpodetexto"/>
        <w:numPr>
          <w:ilvl w:val="0"/>
          <w:numId w:val="4"/>
        </w:numPr>
        <w:tabs>
          <w:tab w:val="clear" w:pos="720"/>
          <w:tab w:val="num" w:pos="567"/>
          <w:tab w:val="left" w:pos="1985"/>
        </w:tabs>
        <w:autoSpaceDE/>
        <w:autoSpaceDN/>
        <w:adjustRightInd/>
        <w:ind w:left="1701" w:hanging="11"/>
        <w:rPr>
          <w:sz w:val="28"/>
          <w:szCs w:val="28"/>
        </w:rPr>
      </w:pPr>
      <w:r w:rsidRPr="005561FA">
        <w:rPr>
          <w:sz w:val="28"/>
          <w:szCs w:val="28"/>
        </w:rPr>
        <w:t xml:space="preserve">Estimativa da Receita Corrente Líquida do Distrito Federal e suas repercussões na metodologia de </w:t>
      </w:r>
      <w:r w:rsidR="001F1A6B">
        <w:rPr>
          <w:sz w:val="28"/>
          <w:szCs w:val="28"/>
        </w:rPr>
        <w:t>c</w:t>
      </w:r>
      <w:r w:rsidRPr="005561FA">
        <w:rPr>
          <w:sz w:val="28"/>
          <w:szCs w:val="28"/>
        </w:rPr>
        <w:t xml:space="preserve">álculo dos gastos com pessoal e encargos sociais dos </w:t>
      </w:r>
      <w:r w:rsidR="006B7C49">
        <w:rPr>
          <w:sz w:val="28"/>
          <w:szCs w:val="28"/>
        </w:rPr>
        <w:t>P</w:t>
      </w:r>
      <w:r w:rsidRPr="005561FA">
        <w:rPr>
          <w:sz w:val="28"/>
          <w:szCs w:val="28"/>
        </w:rPr>
        <w:t xml:space="preserve">oderes </w:t>
      </w:r>
      <w:r w:rsidR="006B7C49">
        <w:rPr>
          <w:sz w:val="28"/>
          <w:szCs w:val="28"/>
        </w:rPr>
        <w:t>L</w:t>
      </w:r>
      <w:r w:rsidRPr="005561FA">
        <w:rPr>
          <w:sz w:val="28"/>
          <w:szCs w:val="28"/>
        </w:rPr>
        <w:t xml:space="preserve">egislativo e </w:t>
      </w:r>
      <w:r w:rsidR="006B7C49">
        <w:rPr>
          <w:sz w:val="28"/>
          <w:szCs w:val="28"/>
        </w:rPr>
        <w:t>E</w:t>
      </w:r>
      <w:r w:rsidRPr="005561FA">
        <w:rPr>
          <w:sz w:val="28"/>
          <w:szCs w:val="28"/>
        </w:rPr>
        <w:t xml:space="preserve">xecutivo e do nível de endividamento </w:t>
      </w:r>
      <w:r w:rsidR="001F1A6B">
        <w:rPr>
          <w:sz w:val="28"/>
          <w:szCs w:val="28"/>
        </w:rPr>
        <w:t>g</w:t>
      </w:r>
      <w:r w:rsidRPr="005561FA">
        <w:rPr>
          <w:sz w:val="28"/>
          <w:szCs w:val="28"/>
        </w:rPr>
        <w:t>overn</w:t>
      </w:r>
      <w:r w:rsidR="001F1A6B">
        <w:rPr>
          <w:sz w:val="28"/>
          <w:szCs w:val="28"/>
        </w:rPr>
        <w:t>amental</w:t>
      </w:r>
      <w:r w:rsidRPr="005561FA">
        <w:rPr>
          <w:sz w:val="28"/>
          <w:szCs w:val="28"/>
        </w:rPr>
        <w:t>, de acordo com os parâmetros da Lei de Responsabilidade Fisca</w:t>
      </w:r>
      <w:r w:rsidR="00FF6077">
        <w:rPr>
          <w:sz w:val="28"/>
          <w:szCs w:val="28"/>
        </w:rPr>
        <w:t>l;</w:t>
      </w:r>
    </w:p>
    <w:p w:rsidR="00FF6077" w:rsidRDefault="00FF6077" w:rsidP="0005624A">
      <w:pPr>
        <w:pStyle w:val="PargrafodaLista"/>
        <w:ind w:left="0"/>
        <w:rPr>
          <w:sz w:val="28"/>
          <w:szCs w:val="28"/>
        </w:rPr>
      </w:pPr>
    </w:p>
    <w:p w:rsidR="00C41A49" w:rsidRDefault="00C41A49" w:rsidP="005561FA">
      <w:pPr>
        <w:pStyle w:val="Corpodetexto"/>
        <w:numPr>
          <w:ilvl w:val="0"/>
          <w:numId w:val="4"/>
        </w:numPr>
        <w:tabs>
          <w:tab w:val="clear" w:pos="720"/>
          <w:tab w:val="num" w:pos="567"/>
          <w:tab w:val="left" w:pos="1985"/>
        </w:tabs>
        <w:autoSpaceDE/>
        <w:autoSpaceDN/>
        <w:adjustRightInd/>
        <w:ind w:left="1701" w:hanging="11"/>
        <w:rPr>
          <w:sz w:val="28"/>
          <w:szCs w:val="28"/>
        </w:rPr>
      </w:pPr>
      <w:r>
        <w:rPr>
          <w:sz w:val="28"/>
          <w:szCs w:val="28"/>
        </w:rPr>
        <w:t xml:space="preserve">De acordo com a Decisão nº 1905/2013, do Tribunal de Contas do Distrito Federal, as despesas com pensionistas não estão computadas no demonstrativo de pessoal em relação à RCL (espelho do RGF); </w:t>
      </w:r>
    </w:p>
    <w:p w:rsidR="00C41A49" w:rsidRDefault="00C41A49" w:rsidP="00C41A49">
      <w:pPr>
        <w:pStyle w:val="PargrafodaLista"/>
        <w:rPr>
          <w:sz w:val="28"/>
          <w:szCs w:val="28"/>
        </w:rPr>
      </w:pPr>
    </w:p>
    <w:p w:rsidR="0000129D" w:rsidRDefault="0000129D" w:rsidP="005561FA">
      <w:pPr>
        <w:pStyle w:val="Corpodetexto"/>
        <w:numPr>
          <w:ilvl w:val="0"/>
          <w:numId w:val="4"/>
        </w:numPr>
        <w:tabs>
          <w:tab w:val="clear" w:pos="720"/>
          <w:tab w:val="num" w:pos="567"/>
          <w:tab w:val="left" w:pos="1985"/>
        </w:tabs>
        <w:autoSpaceDE/>
        <w:autoSpaceDN/>
        <w:adjustRightInd/>
        <w:ind w:left="1701" w:hanging="11"/>
        <w:rPr>
          <w:sz w:val="28"/>
          <w:szCs w:val="28"/>
        </w:rPr>
      </w:pPr>
      <w:r>
        <w:rPr>
          <w:sz w:val="28"/>
          <w:szCs w:val="28"/>
        </w:rPr>
        <w:t>Observada as margens de limite</w:t>
      </w:r>
      <w:r w:rsidR="00C41A49">
        <w:rPr>
          <w:sz w:val="28"/>
          <w:szCs w:val="28"/>
        </w:rPr>
        <w:t xml:space="preserve"> para pessoal, </w:t>
      </w:r>
      <w:r>
        <w:rPr>
          <w:sz w:val="28"/>
          <w:szCs w:val="28"/>
        </w:rPr>
        <w:t>de que trata a Lei Fiscal, a concepção do relatório de “Despesa de Pessoal Autorizada a Sofrer Acréscimos” se mantém da mesma forma que a encaminhada no PLDO do exercício pretérito, com o objetivo de permitir a flexibilização e controle dos incrementos nas despesas à luz da disponibilidade orçamentária e das margens fiscais.</w:t>
      </w:r>
    </w:p>
    <w:p w:rsidR="005561FA" w:rsidRDefault="002F77CD" w:rsidP="00FF6077">
      <w:pPr>
        <w:pStyle w:val="Corpodetexto"/>
        <w:ind w:firstLine="1701"/>
        <w:rPr>
          <w:sz w:val="28"/>
          <w:szCs w:val="28"/>
        </w:rPr>
      </w:pPr>
      <w:r>
        <w:rPr>
          <w:sz w:val="28"/>
          <w:szCs w:val="28"/>
        </w:rPr>
        <w:lastRenderedPageBreak/>
        <w:t>Diante dessas considerações</w:t>
      </w:r>
      <w:r w:rsidR="000012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357">
        <w:rPr>
          <w:sz w:val="28"/>
          <w:szCs w:val="28"/>
        </w:rPr>
        <w:t xml:space="preserve">e levando em conta </w:t>
      </w:r>
      <w:r>
        <w:rPr>
          <w:sz w:val="28"/>
          <w:szCs w:val="28"/>
        </w:rPr>
        <w:t>esse importante instrumento de planejamento, que dá inicio efetivo ao processo de elaboração da proposta orçamentária do Governo do Distrito Federal para o exercício de 201</w:t>
      </w:r>
      <w:r w:rsidR="0021278A">
        <w:rPr>
          <w:sz w:val="28"/>
          <w:szCs w:val="28"/>
        </w:rPr>
        <w:t>4</w:t>
      </w:r>
      <w:r>
        <w:rPr>
          <w:sz w:val="28"/>
          <w:szCs w:val="28"/>
        </w:rPr>
        <w:t xml:space="preserve">, necessário se faz a entrega do anexo </w:t>
      </w:r>
      <w:r w:rsidR="0000129D">
        <w:rPr>
          <w:sz w:val="28"/>
          <w:szCs w:val="28"/>
        </w:rPr>
        <w:t>P</w:t>
      </w:r>
      <w:r>
        <w:rPr>
          <w:sz w:val="28"/>
          <w:szCs w:val="28"/>
        </w:rPr>
        <w:t xml:space="preserve">rojeto de </w:t>
      </w:r>
      <w:r w:rsidR="0000129D">
        <w:rPr>
          <w:sz w:val="28"/>
          <w:szCs w:val="28"/>
        </w:rPr>
        <w:t>L</w:t>
      </w:r>
      <w:r>
        <w:rPr>
          <w:sz w:val="28"/>
          <w:szCs w:val="28"/>
        </w:rPr>
        <w:t>ei à Câmara Legislativa do Distrito Federal</w:t>
      </w:r>
      <w:r w:rsidR="00061357">
        <w:rPr>
          <w:sz w:val="28"/>
          <w:szCs w:val="28"/>
        </w:rPr>
        <w:t xml:space="preserve">, </w:t>
      </w:r>
      <w:r>
        <w:rPr>
          <w:sz w:val="28"/>
          <w:szCs w:val="28"/>
        </w:rPr>
        <w:t>de forma a cumprir o prazo estabelecido no art. 150, §</w:t>
      </w:r>
      <w:r w:rsidR="0000129D">
        <w:rPr>
          <w:sz w:val="28"/>
          <w:szCs w:val="28"/>
        </w:rPr>
        <w:t xml:space="preserve"> </w:t>
      </w:r>
      <w:r>
        <w:rPr>
          <w:sz w:val="28"/>
          <w:szCs w:val="28"/>
        </w:rPr>
        <w:t>2º, da L</w:t>
      </w:r>
      <w:r w:rsidR="0000129D">
        <w:rPr>
          <w:sz w:val="28"/>
          <w:szCs w:val="28"/>
        </w:rPr>
        <w:t>ei Orgânica do Distrito Federal (15 de maio).</w:t>
      </w:r>
    </w:p>
    <w:p w:rsidR="00FF6077" w:rsidRPr="005561FA" w:rsidRDefault="00FF6077" w:rsidP="00FF6077">
      <w:pPr>
        <w:pStyle w:val="Corpodetexto"/>
        <w:ind w:firstLine="1701"/>
        <w:rPr>
          <w:sz w:val="28"/>
          <w:szCs w:val="28"/>
        </w:rPr>
      </w:pPr>
    </w:p>
    <w:p w:rsidR="002F617D" w:rsidRDefault="002F617D" w:rsidP="00FF6077">
      <w:pPr>
        <w:pStyle w:val="Recuodecorpodetexto"/>
        <w:ind w:left="0"/>
        <w:jc w:val="center"/>
        <w:rPr>
          <w:sz w:val="28"/>
          <w:szCs w:val="28"/>
        </w:rPr>
      </w:pPr>
    </w:p>
    <w:p w:rsidR="005561FA" w:rsidRPr="005561FA" w:rsidRDefault="005561FA" w:rsidP="00FF6077">
      <w:pPr>
        <w:pStyle w:val="Recuodecorpodetexto"/>
        <w:ind w:left="0"/>
        <w:jc w:val="center"/>
        <w:rPr>
          <w:sz w:val="28"/>
          <w:szCs w:val="28"/>
        </w:rPr>
      </w:pPr>
      <w:r w:rsidRPr="005561FA">
        <w:rPr>
          <w:sz w:val="28"/>
          <w:szCs w:val="28"/>
        </w:rPr>
        <w:t>Respeitosamente,</w:t>
      </w:r>
    </w:p>
    <w:p w:rsidR="005561FA" w:rsidRDefault="005561FA" w:rsidP="00FF6077">
      <w:pPr>
        <w:pStyle w:val="Recuodecorpodetexto"/>
        <w:ind w:left="0" w:firstLine="1134"/>
        <w:jc w:val="center"/>
        <w:rPr>
          <w:sz w:val="28"/>
          <w:szCs w:val="28"/>
        </w:rPr>
      </w:pPr>
    </w:p>
    <w:p w:rsidR="00FF6077" w:rsidRPr="005561FA" w:rsidRDefault="00FF6077" w:rsidP="00FF6077">
      <w:pPr>
        <w:pStyle w:val="Recuodecorpodetexto"/>
        <w:ind w:left="0" w:firstLine="1134"/>
        <w:jc w:val="center"/>
        <w:rPr>
          <w:sz w:val="28"/>
          <w:szCs w:val="28"/>
        </w:rPr>
      </w:pPr>
    </w:p>
    <w:p w:rsidR="005561FA" w:rsidRPr="002F617D" w:rsidRDefault="002F617D" w:rsidP="00FF6077">
      <w:pPr>
        <w:pStyle w:val="Recuodecorpodetexto"/>
        <w:spacing w:after="0"/>
        <w:ind w:left="0"/>
        <w:jc w:val="center"/>
        <w:rPr>
          <w:b/>
          <w:sz w:val="28"/>
          <w:szCs w:val="28"/>
        </w:rPr>
      </w:pPr>
      <w:r w:rsidRPr="002F617D">
        <w:rPr>
          <w:b/>
          <w:sz w:val="28"/>
          <w:szCs w:val="28"/>
        </w:rPr>
        <w:t>LUIZ PAULO BARRETO</w:t>
      </w:r>
    </w:p>
    <w:p w:rsidR="00672A68" w:rsidRPr="005561FA" w:rsidRDefault="005561FA" w:rsidP="00832B4E">
      <w:pPr>
        <w:pStyle w:val="Recuodecorpodetexto"/>
        <w:spacing w:after="0"/>
        <w:ind w:left="0"/>
        <w:jc w:val="center"/>
        <w:rPr>
          <w:sz w:val="28"/>
          <w:szCs w:val="28"/>
        </w:rPr>
      </w:pPr>
      <w:r w:rsidRPr="005561FA">
        <w:rPr>
          <w:sz w:val="28"/>
          <w:szCs w:val="28"/>
        </w:rPr>
        <w:t xml:space="preserve">Secretário </w:t>
      </w:r>
      <w:r w:rsidR="00665AB9">
        <w:rPr>
          <w:sz w:val="28"/>
          <w:szCs w:val="28"/>
        </w:rPr>
        <w:t xml:space="preserve">de Estado </w:t>
      </w:r>
      <w:r w:rsidRPr="005561FA">
        <w:rPr>
          <w:sz w:val="28"/>
          <w:szCs w:val="28"/>
        </w:rPr>
        <w:t>de Planejamento</w:t>
      </w:r>
      <w:r w:rsidR="00FF6077">
        <w:rPr>
          <w:sz w:val="28"/>
          <w:szCs w:val="28"/>
        </w:rPr>
        <w:t xml:space="preserve"> e Orçamento</w:t>
      </w:r>
    </w:p>
    <w:sectPr w:rsidR="00672A68" w:rsidRPr="005561FA">
      <w:footerReference w:type="default" r:id="rId11"/>
      <w:pgSz w:w="11907" w:h="16840" w:code="9"/>
      <w:pgMar w:top="1276" w:right="85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F3" w:rsidRDefault="00A300F3">
      <w:r>
        <w:separator/>
      </w:r>
    </w:p>
  </w:endnote>
  <w:endnote w:type="continuationSeparator" w:id="0">
    <w:p w:rsidR="00A300F3" w:rsidRDefault="00A30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49" w:rsidRDefault="00C41A49">
    <w:pPr>
      <w:pStyle w:val="Rodap"/>
      <w:jc w:val="center"/>
      <w:rPr>
        <w:sz w:val="16"/>
      </w:rPr>
    </w:pPr>
    <w:r>
      <w:rPr>
        <w:noProof/>
        <w:sz w:val="16"/>
      </w:rPr>
      <w:pict>
        <v:line id="_x0000_s2049" style="position:absolute;left:0;text-align:left;z-index:251657728" from="1.35pt,-4.4pt" to="505.35pt,-4.4pt"/>
      </w:pict>
    </w:r>
    <w:r>
      <w:rPr>
        <w:sz w:val="16"/>
      </w:rPr>
      <w:t xml:space="preserve"> Anexo do Palácio do Buriti, 10º andar. Telefones – 3966-6319/6151</w:t>
    </w:r>
  </w:p>
  <w:p w:rsidR="00C41A49" w:rsidRDefault="00C41A49">
    <w:pPr>
      <w:pStyle w:val="Rodap"/>
      <w:jc w:val="center"/>
      <w:rPr>
        <w:sz w:val="16"/>
      </w:rPr>
    </w:pPr>
    <w:r>
      <w:rPr>
        <w:sz w:val="16"/>
      </w:rPr>
      <w:t>“BRASÍLIA, PATRIMÔNIO DA HUMANIDADE”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F3" w:rsidRDefault="00A300F3">
      <w:r>
        <w:separator/>
      </w:r>
    </w:p>
  </w:footnote>
  <w:footnote w:type="continuationSeparator" w:id="0">
    <w:p w:rsidR="00A300F3" w:rsidRDefault="00A30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03AE"/>
    <w:multiLevelType w:val="hybridMultilevel"/>
    <w:tmpl w:val="3D707C6C"/>
    <w:lvl w:ilvl="0" w:tplc="8D5C75EE">
      <w:start w:val="1"/>
      <w:numFmt w:val="decimal"/>
      <w:lvlText w:val="%1)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687091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7A0A24E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2A68"/>
    <w:rsid w:val="0000129D"/>
    <w:rsid w:val="00007A81"/>
    <w:rsid w:val="00017456"/>
    <w:rsid w:val="00034583"/>
    <w:rsid w:val="0005624A"/>
    <w:rsid w:val="00061357"/>
    <w:rsid w:val="0006589C"/>
    <w:rsid w:val="00073A8D"/>
    <w:rsid w:val="00073F73"/>
    <w:rsid w:val="000763B0"/>
    <w:rsid w:val="00085BB3"/>
    <w:rsid w:val="000A7228"/>
    <w:rsid w:val="000A7436"/>
    <w:rsid w:val="000C490F"/>
    <w:rsid w:val="000D2218"/>
    <w:rsid w:val="000E74F7"/>
    <w:rsid w:val="00134896"/>
    <w:rsid w:val="001761DF"/>
    <w:rsid w:val="001C3390"/>
    <w:rsid w:val="001F1327"/>
    <w:rsid w:val="001F1A6B"/>
    <w:rsid w:val="0021278A"/>
    <w:rsid w:val="002268E7"/>
    <w:rsid w:val="002363E5"/>
    <w:rsid w:val="002410A3"/>
    <w:rsid w:val="00252655"/>
    <w:rsid w:val="00252CE3"/>
    <w:rsid w:val="00254E84"/>
    <w:rsid w:val="00257BDD"/>
    <w:rsid w:val="002644AB"/>
    <w:rsid w:val="0027157C"/>
    <w:rsid w:val="00281C2C"/>
    <w:rsid w:val="00284EC9"/>
    <w:rsid w:val="00294C8F"/>
    <w:rsid w:val="002960CF"/>
    <w:rsid w:val="002974A1"/>
    <w:rsid w:val="002B1312"/>
    <w:rsid w:val="002B4C7C"/>
    <w:rsid w:val="002E1EED"/>
    <w:rsid w:val="002F617D"/>
    <w:rsid w:val="002F77CD"/>
    <w:rsid w:val="00310B1A"/>
    <w:rsid w:val="00321B91"/>
    <w:rsid w:val="00322825"/>
    <w:rsid w:val="003267AD"/>
    <w:rsid w:val="003511CA"/>
    <w:rsid w:val="00353BD7"/>
    <w:rsid w:val="003B11FF"/>
    <w:rsid w:val="003B4661"/>
    <w:rsid w:val="003D1AAD"/>
    <w:rsid w:val="003E0348"/>
    <w:rsid w:val="003E6BC9"/>
    <w:rsid w:val="003F190F"/>
    <w:rsid w:val="004057EF"/>
    <w:rsid w:val="0041512C"/>
    <w:rsid w:val="0042060E"/>
    <w:rsid w:val="004235CB"/>
    <w:rsid w:val="004303B9"/>
    <w:rsid w:val="00452B34"/>
    <w:rsid w:val="0047532B"/>
    <w:rsid w:val="00493679"/>
    <w:rsid w:val="00497382"/>
    <w:rsid w:val="004B5A7F"/>
    <w:rsid w:val="004C47F2"/>
    <w:rsid w:val="004D4136"/>
    <w:rsid w:val="004F6FF7"/>
    <w:rsid w:val="004F72B0"/>
    <w:rsid w:val="0053608A"/>
    <w:rsid w:val="0055345D"/>
    <w:rsid w:val="005561FA"/>
    <w:rsid w:val="00565E4D"/>
    <w:rsid w:val="00566485"/>
    <w:rsid w:val="0057577D"/>
    <w:rsid w:val="00575C6B"/>
    <w:rsid w:val="00591D22"/>
    <w:rsid w:val="005A5985"/>
    <w:rsid w:val="005A675C"/>
    <w:rsid w:val="005B617D"/>
    <w:rsid w:val="005C6A63"/>
    <w:rsid w:val="005E3B36"/>
    <w:rsid w:val="005F756D"/>
    <w:rsid w:val="00601936"/>
    <w:rsid w:val="00622F77"/>
    <w:rsid w:val="006313E6"/>
    <w:rsid w:val="00634684"/>
    <w:rsid w:val="0064168D"/>
    <w:rsid w:val="0064675E"/>
    <w:rsid w:val="00662B5F"/>
    <w:rsid w:val="00665AB9"/>
    <w:rsid w:val="00666C26"/>
    <w:rsid w:val="00672A68"/>
    <w:rsid w:val="00690CAC"/>
    <w:rsid w:val="0069473C"/>
    <w:rsid w:val="006B7C49"/>
    <w:rsid w:val="006C08A5"/>
    <w:rsid w:val="006E3F23"/>
    <w:rsid w:val="00720FEB"/>
    <w:rsid w:val="00755421"/>
    <w:rsid w:val="00760681"/>
    <w:rsid w:val="007637D1"/>
    <w:rsid w:val="007919B2"/>
    <w:rsid w:val="007D50B1"/>
    <w:rsid w:val="007F3C21"/>
    <w:rsid w:val="0080699F"/>
    <w:rsid w:val="00811611"/>
    <w:rsid w:val="0082025A"/>
    <w:rsid w:val="00832B4E"/>
    <w:rsid w:val="0083639F"/>
    <w:rsid w:val="00842C0C"/>
    <w:rsid w:val="008864A6"/>
    <w:rsid w:val="00886F8E"/>
    <w:rsid w:val="008B2E01"/>
    <w:rsid w:val="008B57DD"/>
    <w:rsid w:val="00904C76"/>
    <w:rsid w:val="0092377B"/>
    <w:rsid w:val="00955923"/>
    <w:rsid w:val="00970180"/>
    <w:rsid w:val="00973382"/>
    <w:rsid w:val="00986D61"/>
    <w:rsid w:val="009A12F8"/>
    <w:rsid w:val="009A593D"/>
    <w:rsid w:val="009A6214"/>
    <w:rsid w:val="009D5C73"/>
    <w:rsid w:val="009D6038"/>
    <w:rsid w:val="00A01168"/>
    <w:rsid w:val="00A11D8B"/>
    <w:rsid w:val="00A300F3"/>
    <w:rsid w:val="00A34C70"/>
    <w:rsid w:val="00A428AB"/>
    <w:rsid w:val="00A47EBC"/>
    <w:rsid w:val="00A92086"/>
    <w:rsid w:val="00AB0F6A"/>
    <w:rsid w:val="00AC7BE6"/>
    <w:rsid w:val="00AE029F"/>
    <w:rsid w:val="00AE0733"/>
    <w:rsid w:val="00B055C0"/>
    <w:rsid w:val="00B439DF"/>
    <w:rsid w:val="00B7269F"/>
    <w:rsid w:val="00B7498C"/>
    <w:rsid w:val="00B76546"/>
    <w:rsid w:val="00B95AE1"/>
    <w:rsid w:val="00BC1376"/>
    <w:rsid w:val="00BD08A1"/>
    <w:rsid w:val="00BE0B0D"/>
    <w:rsid w:val="00BE7E18"/>
    <w:rsid w:val="00C06F00"/>
    <w:rsid w:val="00C073C3"/>
    <w:rsid w:val="00C1383F"/>
    <w:rsid w:val="00C41A49"/>
    <w:rsid w:val="00C61BE1"/>
    <w:rsid w:val="00C86A80"/>
    <w:rsid w:val="00C87EAA"/>
    <w:rsid w:val="00C961AD"/>
    <w:rsid w:val="00C97779"/>
    <w:rsid w:val="00CD2B54"/>
    <w:rsid w:val="00CE2DC3"/>
    <w:rsid w:val="00CF6FE4"/>
    <w:rsid w:val="00D302E4"/>
    <w:rsid w:val="00D409CC"/>
    <w:rsid w:val="00D4215D"/>
    <w:rsid w:val="00D508BD"/>
    <w:rsid w:val="00D83565"/>
    <w:rsid w:val="00D873F5"/>
    <w:rsid w:val="00D9472E"/>
    <w:rsid w:val="00DB5729"/>
    <w:rsid w:val="00DE3CF9"/>
    <w:rsid w:val="00DF39E7"/>
    <w:rsid w:val="00E10CC2"/>
    <w:rsid w:val="00E11B3C"/>
    <w:rsid w:val="00E130A7"/>
    <w:rsid w:val="00E44FAD"/>
    <w:rsid w:val="00E45E62"/>
    <w:rsid w:val="00E50141"/>
    <w:rsid w:val="00E5240E"/>
    <w:rsid w:val="00E61344"/>
    <w:rsid w:val="00E64B98"/>
    <w:rsid w:val="00E82169"/>
    <w:rsid w:val="00E874D2"/>
    <w:rsid w:val="00E9511B"/>
    <w:rsid w:val="00E969BA"/>
    <w:rsid w:val="00ED2E16"/>
    <w:rsid w:val="00ED400C"/>
    <w:rsid w:val="00ED777E"/>
    <w:rsid w:val="00EE3000"/>
    <w:rsid w:val="00F073A4"/>
    <w:rsid w:val="00F1114A"/>
    <w:rsid w:val="00F1732E"/>
    <w:rsid w:val="00F21624"/>
    <w:rsid w:val="00F33911"/>
    <w:rsid w:val="00F3547F"/>
    <w:rsid w:val="00F440A9"/>
    <w:rsid w:val="00F63BF9"/>
    <w:rsid w:val="00F645A8"/>
    <w:rsid w:val="00F65B5E"/>
    <w:rsid w:val="00F74496"/>
    <w:rsid w:val="00F7470B"/>
    <w:rsid w:val="00F7482F"/>
    <w:rsid w:val="00F92EAB"/>
    <w:rsid w:val="00FB6710"/>
    <w:rsid w:val="00FC1660"/>
    <w:rsid w:val="00FC7EFA"/>
    <w:rsid w:val="00FF09E8"/>
    <w:rsid w:val="00FF0FF6"/>
    <w:rsid w:val="00FF266B"/>
    <w:rsid w:val="00FF6077"/>
    <w:rsid w:val="00F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sz w:val="24"/>
      <w:szCs w:val="18"/>
    </w:rPr>
  </w:style>
  <w:style w:type="character" w:customStyle="1" w:styleId="CabealhoChar">
    <w:name w:val="Cabeçalho Char"/>
    <w:basedOn w:val="Fontepargpadro"/>
    <w:link w:val="Cabealho"/>
    <w:rsid w:val="00E9511B"/>
    <w:rPr>
      <w:sz w:val="24"/>
    </w:rPr>
  </w:style>
  <w:style w:type="character" w:styleId="Hyperlink">
    <w:name w:val="Hyperlink"/>
    <w:basedOn w:val="Fontepargpadro"/>
    <w:rsid w:val="0082025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561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561FA"/>
  </w:style>
  <w:style w:type="paragraph" w:styleId="Ttulo">
    <w:name w:val="Title"/>
    <w:basedOn w:val="Normal"/>
    <w:link w:val="TtuloChar"/>
    <w:qFormat/>
    <w:rsid w:val="005561FA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5561FA"/>
    <w:rPr>
      <w:b/>
      <w:sz w:val="24"/>
    </w:rPr>
  </w:style>
  <w:style w:type="paragraph" w:styleId="PargrafodaLista">
    <w:name w:val="List Paragraph"/>
    <w:basedOn w:val="Normal"/>
    <w:uiPriority w:val="34"/>
    <w:qFormat/>
    <w:rsid w:val="005561FA"/>
    <w:pPr>
      <w:ind w:left="708"/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9D5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esouro.fazenda.gov.b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DISTRITO FEDERAL</vt:lpstr>
    </vt:vector>
  </TitlesOfParts>
  <Company>CODEPLAN</Company>
  <LinksUpToDate>false</LinksUpToDate>
  <CharactersWithSpaces>10091</CharactersWithSpaces>
  <SharedDoc>false</SharedDoc>
  <HLinks>
    <vt:vector size="6" baseType="variant"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http://www.tesouro.fazenda.gov.br/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DISTRITO FEDERAL</dc:title>
  <dc:creator>CODEPLAN</dc:creator>
  <cp:lastModifiedBy>marcelo.cadete</cp:lastModifiedBy>
  <cp:revision>2</cp:revision>
  <cp:lastPrinted>2013-05-13T18:11:00Z</cp:lastPrinted>
  <dcterms:created xsi:type="dcterms:W3CDTF">2013-05-16T13:46:00Z</dcterms:created>
  <dcterms:modified xsi:type="dcterms:W3CDTF">2013-05-16T13:46:00Z</dcterms:modified>
</cp:coreProperties>
</file>